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09FE" w14:textId="0B003F49" w:rsidR="00AC5486" w:rsidRPr="00344AD5" w:rsidRDefault="00AC5486" w:rsidP="00B13C69">
      <w:pPr>
        <w:keepNext/>
        <w:shd w:val="clear" w:color="auto" w:fill="FFFFFF" w:themeFill="background1"/>
        <w:tabs>
          <w:tab w:val="left" w:pos="709"/>
        </w:tabs>
        <w:jc w:val="center"/>
        <w:outlineLvl w:val="1"/>
        <w:rPr>
          <w:rFonts w:ascii="Times New Roman" w:hAnsi="Times New Roman"/>
          <w:b/>
          <w:bCs/>
          <w:iCs/>
          <w:sz w:val="28"/>
          <w:szCs w:val="28"/>
        </w:rPr>
      </w:pPr>
      <w:r w:rsidRPr="00344AD5">
        <w:rPr>
          <w:rFonts w:ascii="Times New Roman" w:hAnsi="Times New Roman"/>
          <w:b/>
          <w:bCs/>
          <w:iCs/>
          <w:sz w:val="28"/>
          <w:szCs w:val="28"/>
        </w:rPr>
        <w:t xml:space="preserve">Показатели доступности и качества </w:t>
      </w:r>
      <w:r w:rsidR="00033BE8" w:rsidRPr="00344AD5">
        <w:rPr>
          <w:rFonts w:ascii="Times New Roman" w:hAnsi="Times New Roman"/>
          <w:b/>
          <w:bCs/>
          <w:iCs/>
          <w:sz w:val="28"/>
          <w:szCs w:val="28"/>
        </w:rPr>
        <w:br/>
      </w:r>
      <w:r w:rsidRPr="00344AD5">
        <w:rPr>
          <w:rFonts w:ascii="Times New Roman" w:hAnsi="Times New Roman"/>
          <w:b/>
          <w:bCs/>
          <w:iCs/>
          <w:sz w:val="28"/>
          <w:szCs w:val="28"/>
        </w:rPr>
        <w:t>предоставления государственной услуги</w:t>
      </w:r>
    </w:p>
    <w:p w14:paraId="23887E75" w14:textId="77777777" w:rsidR="00033BE8" w:rsidRPr="009C4C0E" w:rsidRDefault="00033BE8" w:rsidP="00330878">
      <w:pPr>
        <w:keepNext/>
        <w:shd w:val="clear" w:color="auto" w:fill="FFFFFF" w:themeFill="background1"/>
        <w:tabs>
          <w:tab w:val="left" w:pos="709"/>
        </w:tabs>
        <w:jc w:val="center"/>
        <w:outlineLvl w:val="1"/>
        <w:rPr>
          <w:rFonts w:ascii="Times New Roman" w:eastAsia="Times New Roman" w:hAnsi="Times New Roman"/>
          <w:i/>
          <w:spacing w:val="3"/>
          <w:kern w:val="3"/>
          <w:sz w:val="28"/>
          <w:szCs w:val="28"/>
        </w:rPr>
      </w:pPr>
    </w:p>
    <w:p w14:paraId="09B8431F" w14:textId="4B32C18B" w:rsidR="00AC5486" w:rsidRPr="00330878" w:rsidRDefault="00330878" w:rsidP="00330878">
      <w:pPr>
        <w:widowControl w:val="0"/>
        <w:shd w:val="clear" w:color="auto" w:fill="FFFFFF" w:themeFill="background1"/>
        <w:tabs>
          <w:tab w:val="left" w:pos="851"/>
          <w:tab w:val="left" w:pos="993"/>
        </w:tabs>
        <w:suppressAutoHyphens/>
        <w:autoSpaceDN w:val="0"/>
        <w:ind w:firstLine="709"/>
        <w:jc w:val="both"/>
        <w:textAlignment w:val="baseline"/>
        <w:rPr>
          <w:rFonts w:ascii="Times New Roman" w:eastAsia="Times New Roman" w:hAnsi="Times New Roman"/>
          <w:color w:val="000000"/>
          <w:spacing w:val="3"/>
          <w:kern w:val="3"/>
          <w:sz w:val="28"/>
          <w:szCs w:val="28"/>
        </w:rPr>
      </w:pPr>
      <w:r w:rsidRPr="00330878">
        <w:rPr>
          <w:rFonts w:ascii="Times New Roman" w:eastAsia="Times New Roman" w:hAnsi="Times New Roman"/>
          <w:color w:val="000000"/>
          <w:spacing w:val="3"/>
          <w:kern w:val="3"/>
          <w:sz w:val="28"/>
          <w:szCs w:val="28"/>
        </w:rPr>
        <w:t>1</w:t>
      </w:r>
      <w:r>
        <w:rPr>
          <w:rFonts w:ascii="Times New Roman" w:eastAsia="Times New Roman" w:hAnsi="Times New Roman"/>
          <w:color w:val="000000"/>
          <w:spacing w:val="3"/>
          <w:kern w:val="3"/>
          <w:sz w:val="28"/>
          <w:szCs w:val="28"/>
        </w:rPr>
        <w:t xml:space="preserve">. </w:t>
      </w:r>
      <w:r w:rsidR="00AC5486" w:rsidRPr="00330878">
        <w:rPr>
          <w:rFonts w:ascii="Times New Roman" w:eastAsia="Times New Roman" w:hAnsi="Times New Roman"/>
          <w:color w:val="000000"/>
          <w:spacing w:val="3"/>
          <w:kern w:val="3"/>
          <w:sz w:val="28"/>
          <w:szCs w:val="28"/>
        </w:rPr>
        <w:t>Основными показателями доступности предоставления государственной услуги являются:</w:t>
      </w:r>
    </w:p>
    <w:p w14:paraId="7CF3BAD3" w14:textId="77777777" w:rsidR="00AC5486" w:rsidRPr="009C4C0E" w:rsidRDefault="00AC5486" w:rsidP="00AC5486">
      <w:pPr>
        <w:pStyle w:val="a3"/>
        <w:widowControl w:val="0"/>
        <w:numPr>
          <w:ilvl w:val="0"/>
          <w:numId w:val="1"/>
        </w:numPr>
        <w:shd w:val="clear" w:color="auto" w:fill="FFFFFF" w:themeFill="background1"/>
        <w:tabs>
          <w:tab w:val="left" w:pos="851"/>
        </w:tabs>
        <w:suppressAutoHyphens/>
        <w:autoSpaceDN w:val="0"/>
        <w:ind w:left="0" w:firstLine="360"/>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наличие полной и понятной информации о порядке и сроках предоставления государственной услуги в информационно-телекоммуникационных сетях общего пользования (в том числе сети «Интернет»).</w:t>
      </w:r>
    </w:p>
    <w:p w14:paraId="2D532431" w14:textId="77777777" w:rsidR="00AC5486" w:rsidRPr="009C4C0E" w:rsidRDefault="00AC5486" w:rsidP="00AC5486">
      <w:pPr>
        <w:pStyle w:val="a3"/>
        <w:widowControl w:val="0"/>
        <w:numPr>
          <w:ilvl w:val="0"/>
          <w:numId w:val="1"/>
        </w:numPr>
        <w:shd w:val="clear" w:color="auto" w:fill="FFFFFF" w:themeFill="background1"/>
        <w:tabs>
          <w:tab w:val="left" w:pos="851"/>
        </w:tabs>
        <w:suppressAutoHyphens/>
        <w:autoSpaceDN w:val="0"/>
        <w:ind w:left="0" w:firstLine="633"/>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доступность электронных форм документов, необходимых для предоставления услуги;</w:t>
      </w:r>
    </w:p>
    <w:p w14:paraId="69A0493C" w14:textId="77777777" w:rsidR="00AC5486" w:rsidRPr="009C4C0E" w:rsidRDefault="00AC5486" w:rsidP="00AC5486">
      <w:pPr>
        <w:pStyle w:val="a3"/>
        <w:widowControl w:val="0"/>
        <w:numPr>
          <w:ilvl w:val="0"/>
          <w:numId w:val="1"/>
        </w:numPr>
        <w:shd w:val="clear" w:color="auto" w:fill="FFFFFF" w:themeFill="background1"/>
        <w:tabs>
          <w:tab w:val="left" w:pos="851"/>
        </w:tabs>
        <w:suppressAutoHyphens/>
        <w:autoSpaceDN w:val="0"/>
        <w:ind w:left="0" w:firstLine="633"/>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возможность подачи заявления на получение государственной услуги и документов в электронной форме;</w:t>
      </w:r>
    </w:p>
    <w:p w14:paraId="4526700B" w14:textId="77777777" w:rsidR="00AC5486" w:rsidRPr="009C4C0E" w:rsidRDefault="00AC5486" w:rsidP="00AC5486">
      <w:pPr>
        <w:pStyle w:val="a3"/>
        <w:widowControl w:val="0"/>
        <w:numPr>
          <w:ilvl w:val="0"/>
          <w:numId w:val="1"/>
        </w:numPr>
        <w:shd w:val="clear" w:color="auto" w:fill="FFFFFF" w:themeFill="background1"/>
        <w:tabs>
          <w:tab w:val="left" w:pos="851"/>
        </w:tabs>
        <w:suppressAutoHyphens/>
        <w:autoSpaceDN w:val="0"/>
        <w:ind w:left="0" w:firstLine="633"/>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доступность инструментов совершения в электронном виде платежей, необходимых для получения государственной услуги.</w:t>
      </w:r>
    </w:p>
    <w:p w14:paraId="6EA52964" w14:textId="282E4EBB" w:rsidR="00AC5486" w:rsidRPr="009C4C0E" w:rsidRDefault="00AC5486" w:rsidP="00330878">
      <w:pPr>
        <w:widowControl w:val="0"/>
        <w:shd w:val="clear" w:color="auto" w:fill="FFFFFF" w:themeFill="background1"/>
        <w:tabs>
          <w:tab w:val="left" w:pos="567"/>
          <w:tab w:val="left" w:pos="993"/>
          <w:tab w:val="left" w:pos="1134"/>
          <w:tab w:val="left" w:pos="1418"/>
        </w:tabs>
        <w:suppressAutoHyphens/>
        <w:autoSpaceDN w:val="0"/>
        <w:ind w:firstLine="774"/>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2. Основными показателями качества предоставления государственной услуги являются:</w:t>
      </w:r>
    </w:p>
    <w:p w14:paraId="5131C189" w14:textId="77777777" w:rsidR="00AC5486" w:rsidRPr="009C4C0E" w:rsidRDefault="00AC5486" w:rsidP="00AC5486">
      <w:pPr>
        <w:pStyle w:val="a3"/>
        <w:widowControl w:val="0"/>
        <w:numPr>
          <w:ilvl w:val="0"/>
          <w:numId w:val="2"/>
        </w:numPr>
        <w:shd w:val="clear" w:color="auto" w:fill="FFFFFF" w:themeFill="background1"/>
        <w:tabs>
          <w:tab w:val="left" w:pos="709"/>
          <w:tab w:val="left" w:pos="851"/>
        </w:tabs>
        <w:suppressAutoHyphens/>
        <w:autoSpaceDN w:val="0"/>
        <w:ind w:left="0" w:firstLine="633"/>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14:paraId="7CDA874C" w14:textId="77777777" w:rsidR="00AC5486" w:rsidRPr="009C4C0E" w:rsidRDefault="00AC5486" w:rsidP="00AC5486">
      <w:pPr>
        <w:pStyle w:val="a3"/>
        <w:widowControl w:val="0"/>
        <w:numPr>
          <w:ilvl w:val="0"/>
          <w:numId w:val="2"/>
        </w:numPr>
        <w:shd w:val="clear" w:color="auto" w:fill="FFFFFF" w:themeFill="background1"/>
        <w:tabs>
          <w:tab w:val="left" w:pos="709"/>
          <w:tab w:val="left" w:pos="851"/>
        </w:tabs>
        <w:suppressAutoHyphens/>
        <w:autoSpaceDN w:val="0"/>
        <w:ind w:left="0" w:firstLine="633"/>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минимально возможное количество взаимодействий заявителя с должностными лицами, участвующими в предоставлении государственной услуги;</w:t>
      </w:r>
    </w:p>
    <w:p w14:paraId="66856957" w14:textId="77777777" w:rsidR="00AC5486" w:rsidRPr="009C4C0E" w:rsidRDefault="00AC5486" w:rsidP="00AC5486">
      <w:pPr>
        <w:pStyle w:val="a3"/>
        <w:widowControl w:val="0"/>
        <w:numPr>
          <w:ilvl w:val="0"/>
          <w:numId w:val="2"/>
        </w:numPr>
        <w:shd w:val="clear" w:color="auto" w:fill="FFFFFF" w:themeFill="background1"/>
        <w:tabs>
          <w:tab w:val="left" w:pos="709"/>
          <w:tab w:val="left" w:pos="851"/>
        </w:tabs>
        <w:suppressAutoHyphens/>
        <w:autoSpaceDN w:val="0"/>
        <w:ind w:left="0" w:firstLine="633"/>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отсутствие обоснованных жалоб на действия (бездействие) сотрудников, их некорректное (невнимательное) отношение к заявителям (представителям заявителя);</w:t>
      </w:r>
    </w:p>
    <w:p w14:paraId="27271CD4" w14:textId="77777777" w:rsidR="00AC5486" w:rsidRPr="009C4C0E" w:rsidRDefault="00AC5486" w:rsidP="00AC5486">
      <w:pPr>
        <w:pStyle w:val="a3"/>
        <w:widowControl w:val="0"/>
        <w:numPr>
          <w:ilvl w:val="0"/>
          <w:numId w:val="2"/>
        </w:numPr>
        <w:shd w:val="clear" w:color="auto" w:fill="FFFFFF" w:themeFill="background1"/>
        <w:tabs>
          <w:tab w:val="left" w:pos="709"/>
          <w:tab w:val="left" w:pos="851"/>
        </w:tabs>
        <w:suppressAutoHyphens/>
        <w:autoSpaceDN w:val="0"/>
        <w:ind w:left="0" w:firstLine="633"/>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отсутствие нарушений установленных сроков в процессе предоставления государственной услуги;</w:t>
      </w:r>
    </w:p>
    <w:p w14:paraId="2289ABE9" w14:textId="77777777" w:rsidR="00AC5486" w:rsidRPr="009C4C0E" w:rsidRDefault="00AC5486" w:rsidP="00AC5486">
      <w:pPr>
        <w:pStyle w:val="a3"/>
        <w:widowControl w:val="0"/>
        <w:numPr>
          <w:ilvl w:val="0"/>
          <w:numId w:val="2"/>
        </w:numPr>
        <w:shd w:val="clear" w:color="auto" w:fill="FFFFFF" w:themeFill="background1"/>
        <w:tabs>
          <w:tab w:val="left" w:pos="709"/>
          <w:tab w:val="left" w:pos="851"/>
        </w:tabs>
        <w:suppressAutoHyphens/>
        <w:autoSpaceDN w:val="0"/>
        <w:ind w:left="0" w:firstLine="633"/>
        <w:jc w:val="both"/>
        <w:textAlignment w:val="baseline"/>
        <w:rPr>
          <w:rFonts w:ascii="Times New Roman" w:eastAsia="Times New Roman" w:hAnsi="Times New Roman"/>
          <w:color w:val="000000"/>
          <w:spacing w:val="3"/>
          <w:kern w:val="3"/>
          <w:sz w:val="28"/>
          <w:szCs w:val="28"/>
        </w:rPr>
      </w:pPr>
      <w:r w:rsidRPr="009C4C0E">
        <w:rPr>
          <w:rFonts w:ascii="Times New Roman" w:eastAsia="Times New Roman" w:hAnsi="Times New Roman"/>
          <w:color w:val="000000"/>
          <w:spacing w:val="3"/>
          <w:kern w:val="3"/>
          <w:sz w:val="28"/>
          <w:szCs w:val="28"/>
        </w:rPr>
        <w:t>отсутствие заявлений об оспаривании решений, действий (бездействия) уполномоченной организации, ее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заявителя (представителей заявителя).</w:t>
      </w:r>
    </w:p>
    <w:p w14:paraId="57240004" w14:textId="77777777" w:rsidR="00A02166" w:rsidRDefault="00344AD5"/>
    <w:sectPr w:rsidR="00A02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91D"/>
    <w:multiLevelType w:val="hybridMultilevel"/>
    <w:tmpl w:val="ADB44B22"/>
    <w:lvl w:ilvl="0" w:tplc="3B021F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0314F5"/>
    <w:multiLevelType w:val="hybridMultilevel"/>
    <w:tmpl w:val="3F46B77E"/>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FA1C77"/>
    <w:multiLevelType w:val="hybridMultilevel"/>
    <w:tmpl w:val="705CE860"/>
    <w:lvl w:ilvl="0" w:tplc="810ADF5C">
      <w:start w:val="1"/>
      <w:numFmt w:val="bullet"/>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8250F52"/>
    <w:multiLevelType w:val="hybridMultilevel"/>
    <w:tmpl w:val="E062D01E"/>
    <w:lvl w:ilvl="0" w:tplc="CB5A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FA4C76"/>
    <w:multiLevelType w:val="hybridMultilevel"/>
    <w:tmpl w:val="0344995A"/>
    <w:lvl w:ilvl="0" w:tplc="15F6E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18902630">
    <w:abstractNumId w:val="3"/>
  </w:num>
  <w:num w:numId="2" w16cid:durableId="487401248">
    <w:abstractNumId w:val="1"/>
  </w:num>
  <w:num w:numId="3" w16cid:durableId="552080358">
    <w:abstractNumId w:val="2"/>
  </w:num>
  <w:num w:numId="4" w16cid:durableId="395855808">
    <w:abstractNumId w:val="4"/>
  </w:num>
  <w:num w:numId="5" w16cid:durableId="74025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6F"/>
    <w:rsid w:val="00033BE8"/>
    <w:rsid w:val="001C7164"/>
    <w:rsid w:val="00216E6F"/>
    <w:rsid w:val="00330878"/>
    <w:rsid w:val="00344AD5"/>
    <w:rsid w:val="003A65AE"/>
    <w:rsid w:val="009E4559"/>
    <w:rsid w:val="00A041FC"/>
    <w:rsid w:val="00AC5486"/>
    <w:rsid w:val="00B1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AA92"/>
  <w15:chartTrackingRefBased/>
  <w15:docId w15:val="{506A2E03-7CEB-4867-B426-5AC14DBA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486"/>
    <w:pPr>
      <w:spacing w:after="0" w:line="240" w:lineRule="auto"/>
    </w:pPr>
    <w:rPr>
      <w:rFonts w:eastAsiaTheme="minorEastAsia" w:cs="Times New Roman"/>
      <w:sz w:val="24"/>
      <w:szCs w:val="24"/>
      <w:lang w:eastAsia="ru-RU"/>
    </w:rPr>
  </w:style>
  <w:style w:type="paragraph" w:styleId="2">
    <w:name w:val="heading 2"/>
    <w:basedOn w:val="a"/>
    <w:next w:val="a"/>
    <w:link w:val="20"/>
    <w:uiPriority w:val="9"/>
    <w:unhideWhenUsed/>
    <w:qFormat/>
    <w:rsid w:val="00AC5486"/>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5486"/>
    <w:rPr>
      <w:rFonts w:asciiTheme="majorHAnsi" w:eastAsiaTheme="majorEastAsia" w:hAnsiTheme="majorHAnsi" w:cs="Times New Roman"/>
      <w:b/>
      <w:bCs/>
      <w:i/>
      <w:iCs/>
      <w:sz w:val="28"/>
      <w:szCs w:val="28"/>
      <w:lang w:eastAsia="ru-RU"/>
    </w:rPr>
  </w:style>
  <w:style w:type="paragraph" w:styleId="a3">
    <w:name w:val="List Paragraph"/>
    <w:aliases w:val="список 1,Нумерация,A_маркированный_список,it_List1,Use Case List Paragraph,Bullets,Абзац маркированнный,Маркированный абзац,Маркерный список,Перечисление в основном тексте,ПАРАГРАФ,Абзац списка11,Абзац вправо-1,Абзац списка основной,Булит"/>
    <w:basedOn w:val="a"/>
    <w:link w:val="a4"/>
    <w:uiPriority w:val="34"/>
    <w:qFormat/>
    <w:rsid w:val="00AC5486"/>
    <w:pPr>
      <w:ind w:left="720"/>
      <w:contextualSpacing/>
    </w:pPr>
  </w:style>
  <w:style w:type="character" w:customStyle="1" w:styleId="a4">
    <w:name w:val="Абзац списка Знак"/>
    <w:aliases w:val="список 1 Знак,Нумерация Знак,A_маркированный_список Знак,it_List1 Знак,Use Case List Paragraph Знак,Bullets Знак,Абзац маркированнный Знак,Маркированный абзац Знак,Маркерный список Знак,Перечисление в основном тексте Знак,ПАРАГРАФ Знак"/>
    <w:link w:val="a3"/>
    <w:uiPriority w:val="34"/>
    <w:locked/>
    <w:rsid w:val="00AC5486"/>
    <w:rPr>
      <w:rFonts w:eastAsiaTheme="minorEastAsia" w:cs="Times New Roman"/>
      <w:sz w:val="24"/>
      <w:szCs w:val="24"/>
      <w:lang w:eastAsia="ru-RU"/>
    </w:rPr>
  </w:style>
  <w:style w:type="character" w:customStyle="1" w:styleId="a5">
    <w:name w:val="Текст примечания Знак"/>
    <w:link w:val="a6"/>
    <w:uiPriority w:val="99"/>
    <w:locked/>
    <w:rsid w:val="00AC5486"/>
    <w:rPr>
      <w:lang w:eastAsia="ar-SA"/>
    </w:rPr>
  </w:style>
  <w:style w:type="paragraph" w:styleId="a6">
    <w:name w:val="annotation text"/>
    <w:basedOn w:val="a"/>
    <w:link w:val="a5"/>
    <w:uiPriority w:val="99"/>
    <w:unhideWhenUsed/>
    <w:rsid w:val="00AC5486"/>
    <w:pPr>
      <w:suppressAutoHyphens/>
    </w:pPr>
    <w:rPr>
      <w:rFonts w:eastAsiaTheme="minorHAnsi" w:cstheme="minorBidi"/>
      <w:sz w:val="22"/>
      <w:szCs w:val="22"/>
      <w:lang w:eastAsia="ar-SA"/>
    </w:rPr>
  </w:style>
  <w:style w:type="character" w:customStyle="1" w:styleId="1">
    <w:name w:val="Текст примечания Знак1"/>
    <w:basedOn w:val="a0"/>
    <w:uiPriority w:val="99"/>
    <w:semiHidden/>
    <w:rsid w:val="00AC5486"/>
    <w:rPr>
      <w:rFonts w:eastAsiaTheme="minorEastAsia" w:cs="Times New Roman"/>
      <w:sz w:val="20"/>
      <w:szCs w:val="20"/>
      <w:lang w:eastAsia="ru-RU"/>
    </w:rPr>
  </w:style>
  <w:style w:type="character" w:styleId="a7">
    <w:name w:val="annotation reference"/>
    <w:unhideWhenUsed/>
    <w:rsid w:val="00AC54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А.А.</dc:creator>
  <cp:keywords/>
  <dc:description/>
  <cp:lastModifiedBy>Погорелова А.А.</cp:lastModifiedBy>
  <cp:revision>6</cp:revision>
  <dcterms:created xsi:type="dcterms:W3CDTF">2024-10-28T12:19:00Z</dcterms:created>
  <dcterms:modified xsi:type="dcterms:W3CDTF">2024-12-19T08:59:00Z</dcterms:modified>
</cp:coreProperties>
</file>