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28.07.2020 N 496</w:t>
              <w:br/>
              <w:t xml:space="preserve">"Об утверждении Правил заготовки и сбора недревесных лесных ресурсов"</w:t>
              <w:br/>
              <w:t xml:space="preserve">(Зарегистрировано в Минюсте России 16.12.2020 N 61508)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декабря 2020 г. N 61508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июля 2020 г. N 496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ЗАГОТОВКИ И СБОРА НЕДРЕВЕСНЫХ ЛЕСНЫХ РЕСУРСОВ</w:t>
      </w:r>
    </w:p>
    <w:p>
      <w:pPr>
        <w:pStyle w:val="0"/>
        <w:jc w:val="both"/>
      </w:pPr>
      <w:r>
        <w:rPr>
          <w:sz w:val="20"/>
        </w:rPr>
      </w:r>
    </w:p>
    <w:p>
      <w:pPr>
        <w:pStyle w:val="0"/>
        <w:ind w:firstLine="540"/>
        <w:jc w:val="both"/>
      </w:pPr>
      <w:r>
        <w:rPr>
          <w:sz w:val="20"/>
        </w:rPr>
        <w:t xml:space="preserve">В соответствии с </w:t>
      </w:r>
      <w:hyperlink w:history="0" r:id="rId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5 статьи 32</w:t>
        </w:r>
      </w:hyperlink>
      <w:r>
        <w:rPr>
          <w:sz w:val="20"/>
        </w:rPr>
        <w:t xml:space="preserve"> Лесного кодекса Российской Федерации (Собрание законодательства Российской Федерации, 2006, N 50, ст. 5278; 2020, N 31, ст. 5028) и </w:t>
      </w:r>
      <w:hyperlink w:history="0" r:id="rId8"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с изм. и доп., вступ. в силу с 01.03.2024) {КонсультантПлюс}">
        <w:r>
          <w:rPr>
            <w:sz w:val="20"/>
            <w:color w:val="0000ff"/>
          </w:rPr>
          <w:t xml:space="preserve">подпунктом 5.2.113</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pPr>
        <w:pStyle w:val="0"/>
        <w:spacing w:before="200" w:line-rule="auto"/>
        <w:ind w:firstLine="540"/>
        <w:jc w:val="both"/>
      </w:pPr>
      <w:r>
        <w:rPr>
          <w:sz w:val="20"/>
        </w:rPr>
        <w:t xml:space="preserve">1. Утвердить прилагаемые </w:t>
      </w:r>
      <w:hyperlink w:history="0" w:anchor="P28" w:tooltip="ПРАВИЛА ЗАГОТОВКИ И СБОРА НЕДРЕВЕСНЫХ ЛЕСНЫХ РЕСУРСОВ">
        <w:r>
          <w:rPr>
            <w:sz w:val="20"/>
            <w:color w:val="0000ff"/>
          </w:rPr>
          <w:t xml:space="preserve">Правила</w:t>
        </w:r>
      </w:hyperlink>
      <w:r>
        <w:rPr>
          <w:sz w:val="20"/>
        </w:rPr>
        <w:t xml:space="preserve"> заготовки и сбора недревесных лесных ресурсов.</w:t>
      </w:r>
    </w:p>
    <w:p>
      <w:pPr>
        <w:pStyle w:val="0"/>
        <w:spacing w:before="200" w:line-rule="auto"/>
        <w:ind w:firstLine="540"/>
        <w:jc w:val="both"/>
      </w:pPr>
      <w:r>
        <w:rPr>
          <w:sz w:val="20"/>
        </w:rPr>
        <w:t xml:space="preserve">2. Настоящий приказ вступает в силу с 1 января 2021 года и действует до 1 января 2027 г.</w:t>
      </w:r>
    </w:p>
    <w:p>
      <w:pPr>
        <w:pStyle w:val="0"/>
        <w:jc w:val="both"/>
      </w:pPr>
      <w:r>
        <w:rPr>
          <w:sz w:val="20"/>
        </w:rPr>
      </w:r>
    </w:p>
    <w:p>
      <w:pPr>
        <w:pStyle w:val="0"/>
        <w:jc w:val="right"/>
      </w:pPr>
      <w:r>
        <w:rPr>
          <w:sz w:val="20"/>
        </w:rPr>
        <w:t xml:space="preserve">Министр</w:t>
      </w:r>
    </w:p>
    <w:p>
      <w:pPr>
        <w:pStyle w:val="0"/>
        <w:jc w:val="right"/>
      </w:pPr>
      <w:r>
        <w:rPr>
          <w:sz w:val="20"/>
        </w:rPr>
        <w:t xml:space="preserve">Д.Н.КОБЫЛКИН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Минприроды России</w:t>
      </w:r>
    </w:p>
    <w:p>
      <w:pPr>
        <w:pStyle w:val="0"/>
        <w:jc w:val="right"/>
      </w:pPr>
      <w:r>
        <w:rPr>
          <w:sz w:val="20"/>
        </w:rPr>
        <w:t xml:space="preserve">от 28.07.2020 N 496</w:t>
      </w:r>
    </w:p>
    <w:p>
      <w:pPr>
        <w:pStyle w:val="0"/>
        <w:jc w:val="both"/>
      </w:pPr>
      <w:r>
        <w:rPr>
          <w:sz w:val="20"/>
        </w:rPr>
      </w:r>
    </w:p>
    <w:bookmarkStart w:id="28" w:name="P28"/>
    <w:bookmarkEnd w:id="28"/>
    <w:p>
      <w:pPr>
        <w:pStyle w:val="2"/>
        <w:jc w:val="center"/>
      </w:pPr>
      <w:r>
        <w:rPr>
          <w:sz w:val="20"/>
        </w:rPr>
        <w:t xml:space="preserve">ПРАВИЛА ЗАГОТОВКИ И СБОРА НЕДРЕВЕСНЫХ ЛЕСНЫХ РЕСУРСОВ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заготовки и сбора недревесных лесных ресурсов (далее - Правила) разработаны в соответствии со </w:t>
      </w:r>
      <w:hyperlink w:history="0" r:id="rId9"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32</w:t>
        </w:r>
      </w:hyperlink>
      <w:r>
        <w:rPr>
          <w:sz w:val="20"/>
        </w:rPr>
        <w:t xml:space="preserve"> Лесного кодекса Российской Федерации (Собрание законодательства Российской Федерации, 2006, N 50, ст. 5278; 2020, N 17, ст. 2725) (далее - Лесной кодекс) и регулируют отношения, возникающие при заготовке и сборе недревесных лесных ресурсов, за исключением случаев заготовки и сбора этих видов ресурсов гражданами для собственных нужд.</w:t>
      </w:r>
    </w:p>
    <w:p>
      <w:pPr>
        <w:pStyle w:val="0"/>
        <w:spacing w:before="200" w:line-rule="auto"/>
        <w:ind w:firstLine="540"/>
        <w:jc w:val="both"/>
      </w:pPr>
      <w:r>
        <w:rPr>
          <w:sz w:val="20"/>
        </w:rPr>
        <w:t xml:space="preserve">2.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32</w:t>
        </w:r>
      </w:hyperlink>
      <w:r>
        <w:rPr>
          <w:sz w:val="20"/>
        </w:rPr>
        <w:t xml:space="preserve"> Лесного кодекса (Собрание законодательства Российской Федерации, 2006, N 50, ст. 5278; 2020, N 17, ст. 2725).</w:t>
      </w:r>
    </w:p>
    <w:p>
      <w:pPr>
        <w:pStyle w:val="0"/>
        <w:jc w:val="both"/>
      </w:pPr>
      <w:r>
        <w:rPr>
          <w:sz w:val="20"/>
        </w:rPr>
      </w:r>
    </w:p>
    <w:p>
      <w:pPr>
        <w:pStyle w:val="0"/>
        <w:ind w:firstLine="540"/>
        <w:jc w:val="both"/>
      </w:pPr>
      <w:r>
        <w:rPr>
          <w:sz w:val="20"/>
        </w:rPr>
        <w:t xml:space="preserve">3. К недревесным лесным ресурсам относятся пни, береста, кора деревьев и кустарников, хворост, валежник,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32</w:t>
        </w:r>
      </w:hyperlink>
      <w:r>
        <w:rPr>
          <w:sz w:val="20"/>
        </w:rPr>
        <w:t xml:space="preserve"> Лесного кодекса (Собрание законодательства Российской Федерации, 2006, N 50, ст. 5278; 2018, N 17, ст. 2426).</w:t>
      </w:r>
    </w:p>
    <w:p>
      <w:pPr>
        <w:pStyle w:val="0"/>
        <w:jc w:val="both"/>
      </w:pPr>
      <w:r>
        <w:rPr>
          <w:sz w:val="20"/>
        </w:rPr>
      </w:r>
    </w:p>
    <w:p>
      <w:pPr>
        <w:pStyle w:val="0"/>
        <w:ind w:firstLine="540"/>
        <w:jc w:val="both"/>
      </w:pPr>
      <w:r>
        <w:rPr>
          <w:sz w:val="20"/>
        </w:rPr>
        <w:t xml:space="preserve">4. Граждане, юридические лица осуществляют заготовку и сбор недревесных лесных ресурсов на основании договоров аренды лесных участков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32</w:t>
        </w:r>
      </w:hyperlink>
      <w:r>
        <w:rPr>
          <w:sz w:val="20"/>
        </w:rPr>
        <w:t xml:space="preserve"> Лесного кодекса (Собрание законодательства Российской Федерации, 2006, N 50, ст. 5278; 2020, N 17, ст. 2725).</w:t>
      </w:r>
    </w:p>
    <w:p>
      <w:pPr>
        <w:pStyle w:val="0"/>
        <w:jc w:val="both"/>
      </w:pPr>
      <w:r>
        <w:rPr>
          <w:sz w:val="20"/>
        </w:rPr>
      </w:r>
    </w:p>
    <w:p>
      <w:pPr>
        <w:pStyle w:val="0"/>
        <w:ind w:firstLine="540"/>
        <w:jc w:val="both"/>
      </w:pPr>
      <w:r>
        <w:rPr>
          <w:sz w:val="20"/>
        </w:rPr>
        <w:t xml:space="preserve">5.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3"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4.1 статьи 32</w:t>
        </w:r>
      </w:hyperlink>
      <w:r>
        <w:rPr>
          <w:sz w:val="20"/>
        </w:rPr>
        <w:t xml:space="preserve"> Лесного кодекса (Собрание законодательства Российской Федерации, 2006, N 50, ст. 5278; 2009, N 11, ст. 1261).</w:t>
      </w:r>
    </w:p>
    <w:p>
      <w:pPr>
        <w:pStyle w:val="0"/>
        <w:jc w:val="both"/>
      </w:pPr>
      <w:r>
        <w:rPr>
          <w:sz w:val="20"/>
        </w:rPr>
      </w:r>
    </w:p>
    <w:p>
      <w:pPr>
        <w:pStyle w:val="0"/>
        <w:ind w:firstLine="540"/>
        <w:jc w:val="both"/>
      </w:pPr>
      <w:r>
        <w:rPr>
          <w:sz w:val="20"/>
        </w:rPr>
        <w:t xml:space="preserve">6.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24</w:t>
        </w:r>
      </w:hyperlink>
      <w:r>
        <w:rPr>
          <w:sz w:val="20"/>
        </w:rPr>
        <w:t xml:space="preserve"> Лесного кодекса (Собрание законодательства Российской Федерации, 2006, N 50, ст. 5278; 2018, N 52, ст. 8100).</w:t>
      </w:r>
    </w:p>
    <w:p>
      <w:pPr>
        <w:pStyle w:val="0"/>
        <w:jc w:val="both"/>
      </w:pPr>
      <w:r>
        <w:rPr>
          <w:sz w:val="20"/>
        </w:rPr>
      </w:r>
    </w:p>
    <w:p>
      <w:pPr>
        <w:pStyle w:val="0"/>
        <w:ind w:firstLine="540"/>
        <w:jc w:val="both"/>
      </w:pPr>
      <w:r>
        <w:rPr>
          <w:sz w:val="20"/>
        </w:rPr>
        <w:t xml:space="preserve">7. Заготовленные недревесные лесные ресурсы являются согласно </w:t>
      </w:r>
      <w:hyperlink w:history="0" r:id="rId1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части 1 статьи 20</w:t>
        </w:r>
      </w:hyperlink>
      <w:r>
        <w:rPr>
          <w:sz w:val="20"/>
        </w:rPr>
        <w:t xml:space="preserve"> Лесного кодекса &lt;6&gt; собственностью лесопользователя, которому лесной участок передан для использования лесов для заготовки и сбора недревесных лесных 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Лесной </w:t>
      </w:r>
      <w:hyperlink w:history="0" r:id="rId16"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w:t>
        </w:r>
      </w:hyperlink>
      <w:r>
        <w:rPr>
          <w:sz w:val="20"/>
        </w:rPr>
        <w:t xml:space="preserve"> (Собрание законодательства Российской Федерации, 2006, N 50, ст. 5278).</w:t>
      </w:r>
    </w:p>
    <w:p>
      <w:pPr>
        <w:pStyle w:val="0"/>
        <w:jc w:val="both"/>
      </w:pPr>
      <w:r>
        <w:rPr>
          <w:sz w:val="20"/>
        </w:rPr>
      </w:r>
    </w:p>
    <w:p>
      <w:pPr>
        <w:pStyle w:val="0"/>
        <w:ind w:firstLine="540"/>
        <w:jc w:val="both"/>
      </w:pPr>
      <w:r>
        <w:rPr>
          <w:sz w:val="20"/>
        </w:rPr>
        <w:t xml:space="preserve">В случае заключения с лесопользователем договора купли-продажи лесных насаждений без предоставления лесных участков для осуществления заготовки елей или деревьев других хвойных пород для новогодних праздников гражданами, юридическими лицами право собственности на такие заготовленные недревесные лесные ресурсы принадлежит лицам, с которыми заключены соответствующие договоры купли-продажи лесных насаждений без предоставления лесных участков.</w:t>
      </w:r>
    </w:p>
    <w:p>
      <w:pPr>
        <w:pStyle w:val="0"/>
        <w:spacing w:before="200" w:line-rule="auto"/>
        <w:ind w:firstLine="540"/>
        <w:jc w:val="both"/>
      </w:pPr>
      <w:r>
        <w:rPr>
          <w:sz w:val="20"/>
        </w:rPr>
        <w:t xml:space="preserve">8. Заготовка и сбор недревесных лесных ресурсов могут ограничиваться в соответствии со </w:t>
      </w:r>
      <w:hyperlink w:history="0" r:id="rId17"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27</w:t>
        </w:r>
      </w:hyperlink>
      <w:r>
        <w:rPr>
          <w:sz w:val="20"/>
        </w:rPr>
        <w:t xml:space="preserve"> Лесного кодекса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8"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 27</w:t>
        </w:r>
      </w:hyperlink>
      <w:r>
        <w:rPr>
          <w:sz w:val="20"/>
        </w:rPr>
        <w:t xml:space="preserve"> Лесного кодекса (Собрание законодательства Российской Федерации, 2006, N 50, ст. 5278; 2018, N 53, ст. 8464).</w:t>
      </w:r>
    </w:p>
    <w:p>
      <w:pPr>
        <w:pStyle w:val="0"/>
        <w:jc w:val="both"/>
      </w:pPr>
      <w:r>
        <w:rPr>
          <w:sz w:val="20"/>
        </w:rPr>
      </w:r>
    </w:p>
    <w:p>
      <w:pPr>
        <w:pStyle w:val="0"/>
        <w:ind w:firstLine="540"/>
        <w:jc w:val="both"/>
      </w:pPr>
      <w:r>
        <w:rPr>
          <w:sz w:val="20"/>
        </w:rPr>
        <w:t xml:space="preserve">9. Заготовка и сбор недревесных лесных ресурсов могут быть ограничены или запрещены в районах, загрязненных радиоактивными веществами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9"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Постановление</w:t>
        </w:r>
      </w:hyperlink>
      <w:r>
        <w:rPr>
          <w:sz w:val="20"/>
        </w:rPr>
        <w:t xml:space="preserve"> Правительства Российской Федерации от 25 декабря 1992 г. N 1008 "О режиме территорий, подвергшихся радиоактивному загрязнению вследствие катастрофы на Чернобыльской АЭС" (Собрание актов Президента Российской Федерации и Правительства Российской Федерации, 1993, N 5, ст. 387; Собрание законодательства Российской Федерации, 1996, N 13, ст. 1365).</w:t>
      </w:r>
    </w:p>
    <w:p>
      <w:pPr>
        <w:pStyle w:val="0"/>
        <w:jc w:val="both"/>
      </w:pPr>
      <w:r>
        <w:rPr>
          <w:sz w:val="20"/>
        </w:rPr>
      </w:r>
    </w:p>
    <w:p>
      <w:pPr>
        <w:pStyle w:val="0"/>
        <w:ind w:firstLine="540"/>
        <w:jc w:val="both"/>
      </w:pPr>
      <w:r>
        <w:rPr>
          <w:sz w:val="20"/>
        </w:rPr>
        <w:t xml:space="preserve">10. Настоящие Правила применяются во всех лесных районах Российской Федерации. Срок окончания действия настоящих Правил 31 декабря 2026 года.</w:t>
      </w:r>
    </w:p>
    <w:p>
      <w:pPr>
        <w:pStyle w:val="0"/>
        <w:jc w:val="both"/>
      </w:pPr>
      <w:r>
        <w:rPr>
          <w:sz w:val="20"/>
        </w:rPr>
      </w:r>
    </w:p>
    <w:p>
      <w:pPr>
        <w:pStyle w:val="2"/>
        <w:outlineLvl w:val="1"/>
        <w:jc w:val="center"/>
      </w:pPr>
      <w:r>
        <w:rPr>
          <w:sz w:val="20"/>
        </w:rPr>
        <w:t xml:space="preserve">II. Права и обязанности граждан, юридических лиц,</w:t>
      </w:r>
    </w:p>
    <w:p>
      <w:pPr>
        <w:pStyle w:val="2"/>
        <w:jc w:val="center"/>
      </w:pPr>
      <w:r>
        <w:rPr>
          <w:sz w:val="20"/>
        </w:rPr>
        <w:t xml:space="preserve">осуществляющих использование лесов для заготовки и сбора</w:t>
      </w:r>
    </w:p>
    <w:p>
      <w:pPr>
        <w:pStyle w:val="2"/>
        <w:jc w:val="center"/>
      </w:pPr>
      <w:r>
        <w:rPr>
          <w:sz w:val="20"/>
        </w:rPr>
        <w:t xml:space="preserve">недревесных лесных ресурсов</w:t>
      </w:r>
    </w:p>
    <w:p>
      <w:pPr>
        <w:pStyle w:val="0"/>
        <w:jc w:val="both"/>
      </w:pPr>
      <w:r>
        <w:rPr>
          <w:sz w:val="20"/>
        </w:rPr>
      </w:r>
    </w:p>
    <w:p>
      <w:pPr>
        <w:pStyle w:val="0"/>
        <w:ind w:firstLine="540"/>
        <w:jc w:val="both"/>
      </w:pPr>
      <w:r>
        <w:rPr>
          <w:sz w:val="20"/>
        </w:rPr>
        <w:t xml:space="preserve">11. Граждане, юридические лица, использующие леса для заготовки и сбора недревесных лесных ресурсов, имеют право:</w:t>
      </w:r>
    </w:p>
    <w:p>
      <w:pPr>
        <w:pStyle w:val="0"/>
        <w:spacing w:before="200" w:line-rule="auto"/>
        <w:ind w:firstLine="540"/>
        <w:jc w:val="both"/>
      </w:pPr>
      <w:r>
        <w:rPr>
          <w:sz w:val="20"/>
        </w:rPr>
        <w:t xml:space="preserve">осуществлять использование лесов в соответствии с условиями договора аренды лесного участка (договора купли-продажи лесных насаждений);</w:t>
      </w:r>
    </w:p>
    <w:p>
      <w:pPr>
        <w:pStyle w:val="0"/>
        <w:spacing w:before="200" w:line-rule="auto"/>
        <w:ind w:firstLine="540"/>
        <w:jc w:val="both"/>
      </w:pPr>
      <w:r>
        <w:rPr>
          <w:sz w:val="20"/>
        </w:rPr>
        <w:t xml:space="preserve">создавать лесную инфраструктуру, в том числе лесные дороги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13</w:t>
        </w:r>
      </w:hyperlink>
      <w:r>
        <w:rPr>
          <w:sz w:val="20"/>
        </w:rPr>
        <w:t xml:space="preserve"> Лесного кодекса (Собрание законодательства, 2006, N 50, ст. 5278; 2016, N 26, ст. 3875).</w:t>
      </w:r>
    </w:p>
    <w:p>
      <w:pPr>
        <w:pStyle w:val="0"/>
        <w:jc w:val="both"/>
      </w:pPr>
      <w:r>
        <w:rPr>
          <w:sz w:val="20"/>
        </w:rPr>
      </w:r>
    </w:p>
    <w:p>
      <w:pPr>
        <w:pStyle w:val="0"/>
        <w:ind w:firstLine="540"/>
        <w:jc w:val="both"/>
      </w:pPr>
      <w:r>
        <w:rPr>
          <w:sz w:val="20"/>
        </w:rPr>
        <w:t xml:space="preserve">возводить на предоставленных лесных участках навесы и другие некапитальные строения, сооружения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32</w:t>
        </w:r>
      </w:hyperlink>
      <w:r>
        <w:rPr>
          <w:sz w:val="20"/>
        </w:rPr>
        <w:t xml:space="preserve"> Лесного кодекса (Собрание законодательства, 2006, N 50, ст. 5278; 2018, N 52, ст. 8100).</w:t>
      </w:r>
    </w:p>
    <w:p>
      <w:pPr>
        <w:pStyle w:val="0"/>
        <w:jc w:val="both"/>
      </w:pPr>
      <w:r>
        <w:rPr>
          <w:sz w:val="20"/>
        </w:rPr>
      </w:r>
    </w:p>
    <w:p>
      <w:pPr>
        <w:pStyle w:val="0"/>
        <w:ind w:firstLine="540"/>
        <w:jc w:val="both"/>
      </w:pPr>
      <w:r>
        <w:rPr>
          <w:sz w:val="20"/>
        </w:rPr>
        <w:t xml:space="preserve">12. Граждане, юридические лица, использующие леса для заготовки и сбора недревесных лесных ресурсов, обязаны:</w:t>
      </w:r>
    </w:p>
    <w:p>
      <w:pPr>
        <w:pStyle w:val="0"/>
        <w:spacing w:before="200" w:line-rule="auto"/>
        <w:ind w:firstLine="540"/>
        <w:jc w:val="both"/>
      </w:pPr>
      <w:r>
        <w:rPr>
          <w:sz w:val="20"/>
        </w:rPr>
        <w:t xml:space="preserve">составлять проект освоения лесов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88</w:t>
        </w:r>
      </w:hyperlink>
      <w:r>
        <w:rPr>
          <w:sz w:val="20"/>
        </w:rPr>
        <w:t xml:space="preserve"> Лесного кодекса (Собрание законодательства Российской Федерации, 2006, N 50, ст. 5278; 2018, N 32, ст. 5134).</w:t>
      </w:r>
    </w:p>
    <w:p>
      <w:pPr>
        <w:pStyle w:val="0"/>
        <w:jc w:val="both"/>
      </w:pPr>
      <w:r>
        <w:rPr>
          <w:sz w:val="20"/>
        </w:rPr>
      </w:r>
    </w:p>
    <w:p>
      <w:pPr>
        <w:pStyle w:val="0"/>
        <w:ind w:firstLine="540"/>
        <w:jc w:val="both"/>
      </w:pPr>
      <w:r>
        <w:rPr>
          <w:sz w:val="20"/>
        </w:rPr>
        <w:t xml:space="preserve">осуществлять использование лесов в соответствии с проектом освоения лесов; соблюдать условия договора аренды лесного участка (договора купли-продажи лесных насаждений);</w:t>
      </w:r>
    </w:p>
    <w:p>
      <w:pPr>
        <w:pStyle w:val="0"/>
        <w:spacing w:before="200" w:line-rule="auto"/>
        <w:ind w:firstLine="540"/>
        <w:jc w:val="both"/>
      </w:pPr>
      <w:r>
        <w:rPr>
          <w:sz w:val="20"/>
        </w:rPr>
        <w:t xml:space="preserve">осуществлять меры санитарной безопасности в лесах, в том числе санитарно-оздоровительные и профилактические мероприятия по защите лесов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3"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 60.3</w:t>
        </w:r>
      </w:hyperlink>
      <w:r>
        <w:rPr>
          <w:sz w:val="20"/>
        </w:rPr>
        <w:t xml:space="preserve"> Лесного кодекса (Собрание законодательства Российской Федерации, 2016, N 1, ст. 75).</w:t>
      </w:r>
    </w:p>
    <w:p>
      <w:pPr>
        <w:pStyle w:val="0"/>
        <w:jc w:val="both"/>
      </w:pPr>
      <w:r>
        <w:rPr>
          <w:sz w:val="20"/>
        </w:rPr>
      </w:r>
    </w:p>
    <w:p>
      <w:pPr>
        <w:pStyle w:val="0"/>
        <w:ind w:firstLine="540"/>
        <w:jc w:val="both"/>
      </w:pPr>
      <w:r>
        <w:rPr>
          <w:sz w:val="20"/>
        </w:rPr>
        <w:t xml:space="preserve">соблюдать правила пожарной безопасности в лесах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2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3 статьи 53</w:t>
        </w:r>
      </w:hyperlink>
      <w:r>
        <w:rPr>
          <w:sz w:val="20"/>
        </w:rPr>
        <w:t xml:space="preserve"> Лесного кодекса (Собрание законодательства Российской Федерации, 2007, N 28, ст. 3432; 2019, N 16, ст. 1960).</w:t>
      </w:r>
    </w:p>
    <w:p>
      <w:pPr>
        <w:pStyle w:val="0"/>
        <w:jc w:val="both"/>
      </w:pPr>
      <w:r>
        <w:rPr>
          <w:sz w:val="20"/>
        </w:rPr>
      </w:r>
    </w:p>
    <w:p>
      <w:pPr>
        <w:pStyle w:val="0"/>
        <w:ind w:firstLine="540"/>
        <w:jc w:val="both"/>
      </w:pPr>
      <w:r>
        <w:rPr>
          <w:sz w:val="20"/>
        </w:rPr>
        <w:t xml:space="preserve">осуществлять меры, направленные на исключение случаев загрязнения (в том числе радиоактивными веществами) лесов и иного негативного воздействия на леса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25" w:tooltip="&quot;Лесной кодекс Российской Федерации&quot; от 04.12.2006 N 200-ФЗ (ред. от 04.08.2023) (с изм. и доп., вступ. в силу с 01.01.2024) {КонсультантПлюс}">
        <w:r>
          <w:rPr>
            <w:sz w:val="20"/>
            <w:color w:val="0000ff"/>
          </w:rPr>
          <w:t xml:space="preserve">Глава 3.2</w:t>
        </w:r>
      </w:hyperlink>
      <w:r>
        <w:rPr>
          <w:sz w:val="20"/>
        </w:rPr>
        <w:t xml:space="preserve"> Лесного кодекса (Собрание законодательства Российской Федерации, 2006, N 50, ст. 5278; 2018, N 32, ст. 5134).</w:t>
      </w:r>
    </w:p>
    <w:p>
      <w:pPr>
        <w:pStyle w:val="0"/>
        <w:jc w:val="both"/>
      </w:pPr>
      <w:r>
        <w:rPr>
          <w:sz w:val="20"/>
        </w:rPr>
      </w:r>
    </w:p>
    <w:p>
      <w:pPr>
        <w:pStyle w:val="0"/>
        <w:ind w:firstLine="540"/>
        <w:jc w:val="both"/>
      </w:pPr>
      <w:r>
        <w:rPr>
          <w:sz w:val="20"/>
        </w:rPr>
        <w:t xml:space="preserve">соблюдать правила пожарной безопасности в лесах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26"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 53</w:t>
        </w:r>
      </w:hyperlink>
      <w:r>
        <w:rPr>
          <w:sz w:val="20"/>
        </w:rPr>
        <w:t xml:space="preserve"> Лесного кодекса (Собрание законодательства Российской Федерации, 2006, N 50, ст. 5278; 2011, N 1, ст. 54).</w:t>
      </w:r>
    </w:p>
    <w:p>
      <w:pPr>
        <w:pStyle w:val="0"/>
        <w:jc w:val="both"/>
      </w:pPr>
      <w:r>
        <w:rPr>
          <w:sz w:val="20"/>
        </w:rPr>
      </w:r>
    </w:p>
    <w:p>
      <w:pPr>
        <w:pStyle w:val="0"/>
        <w:ind w:firstLine="540"/>
        <w:jc w:val="both"/>
      </w:pPr>
      <w:r>
        <w:rPr>
          <w:sz w:val="20"/>
        </w:rPr>
        <w:t xml:space="preserve">подавать ежегодно лесную декларацию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27"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2 статьи 26</w:t>
        </w:r>
      </w:hyperlink>
      <w:r>
        <w:rPr>
          <w:sz w:val="20"/>
        </w:rPr>
        <w:t xml:space="preserve"> Лесного кодекса (Собрание законодательства Российской Федерации, 2006, N 50, ст. 5278; 2018, N 32, ст. 5134).</w:t>
      </w:r>
    </w:p>
    <w:p>
      <w:pPr>
        <w:pStyle w:val="0"/>
        <w:jc w:val="both"/>
      </w:pPr>
      <w:r>
        <w:rPr>
          <w:sz w:val="20"/>
        </w:rPr>
      </w:r>
    </w:p>
    <w:p>
      <w:pPr>
        <w:pStyle w:val="0"/>
        <w:ind w:firstLine="540"/>
        <w:jc w:val="both"/>
      </w:pPr>
      <w:r>
        <w:rPr>
          <w:sz w:val="20"/>
        </w:rPr>
        <w:t xml:space="preserve">представлять отчет об использовании лесов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2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49</w:t>
        </w:r>
      </w:hyperlink>
      <w:r>
        <w:rPr>
          <w:sz w:val="20"/>
        </w:rPr>
        <w:t xml:space="preserve"> Лесного кодекса (Собрание законодательства Российской Федерации, 2006, N 50, ст. 5278; 2016, N 26, ст. 3887).</w:t>
      </w:r>
    </w:p>
    <w:p>
      <w:pPr>
        <w:pStyle w:val="0"/>
        <w:jc w:val="both"/>
      </w:pPr>
      <w:r>
        <w:rPr>
          <w:sz w:val="20"/>
        </w:rPr>
      </w:r>
    </w:p>
    <w:p>
      <w:pPr>
        <w:pStyle w:val="0"/>
        <w:ind w:firstLine="540"/>
        <w:jc w:val="both"/>
      </w:pPr>
      <w:r>
        <w:rPr>
          <w:sz w:val="20"/>
        </w:rPr>
        <w:t xml:space="preserve">представлять отчет об охране лесов от пожаров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2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w:t>
        </w:r>
      </w:hyperlink>
      <w:r>
        <w:rPr>
          <w:sz w:val="20"/>
        </w:rPr>
        <w:t xml:space="preserve"> Лесного кодекса (Собрание законодательства Российской Федерации, 2006, N 50, ст. 5278; 2016, N 26, ст. 3887).</w:t>
      </w:r>
    </w:p>
    <w:p>
      <w:pPr>
        <w:pStyle w:val="0"/>
        <w:jc w:val="both"/>
      </w:pPr>
      <w:r>
        <w:rPr>
          <w:sz w:val="20"/>
        </w:rPr>
      </w:r>
    </w:p>
    <w:p>
      <w:pPr>
        <w:pStyle w:val="0"/>
        <w:ind w:firstLine="540"/>
        <w:jc w:val="both"/>
      </w:pPr>
      <w:r>
        <w:rPr>
          <w:sz w:val="20"/>
        </w:rPr>
        <w:t xml:space="preserve">представлять отчет о защите лесов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30"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1 статьи 60.11</w:t>
        </w:r>
      </w:hyperlink>
      <w:r>
        <w:rPr>
          <w:sz w:val="20"/>
        </w:rPr>
        <w:t xml:space="preserve"> Лесного кодекса (Собрание законодательства Российской Федерации, 2006, N 50, ст. 5278; 2016, N 26, ст. 3887).</w:t>
      </w:r>
    </w:p>
    <w:p>
      <w:pPr>
        <w:pStyle w:val="0"/>
        <w:jc w:val="both"/>
      </w:pPr>
      <w:r>
        <w:rPr>
          <w:sz w:val="20"/>
        </w:rPr>
      </w:r>
    </w:p>
    <w:p>
      <w:pPr>
        <w:pStyle w:val="0"/>
        <w:ind w:firstLine="540"/>
        <w:jc w:val="both"/>
      </w:pPr>
      <w:r>
        <w:rPr>
          <w:sz w:val="20"/>
        </w:rPr>
        <w:t xml:space="preserve">представлять в уполномоченный орган государственной власти, орган местного самоуправления документированную информацию, предусмотренную </w:t>
      </w:r>
      <w:hyperlink w:history="0" r:id="rId31"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2 статьи 91</w:t>
        </w:r>
      </w:hyperlink>
      <w:r>
        <w:rPr>
          <w:sz w:val="20"/>
        </w:rPr>
        <w:t xml:space="preserve"> Лесного кодекса, для внесения в государственный лесной реестр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32"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 4 статьи 91</w:t>
        </w:r>
      </w:hyperlink>
      <w:r>
        <w:rPr>
          <w:sz w:val="20"/>
        </w:rPr>
        <w:t xml:space="preserve"> Лесного кодекса (Собрание законодательства Российской Федерации, 2006, N 50, ст. 5278; 2018, N 53, ст. 8464).</w:t>
      </w:r>
    </w:p>
    <w:p>
      <w:pPr>
        <w:pStyle w:val="0"/>
        <w:jc w:val="both"/>
      </w:pPr>
      <w:r>
        <w:rPr>
          <w:sz w:val="20"/>
        </w:rPr>
      </w:r>
    </w:p>
    <w:p>
      <w:pPr>
        <w:pStyle w:val="2"/>
        <w:outlineLvl w:val="1"/>
        <w:jc w:val="center"/>
      </w:pPr>
      <w:r>
        <w:rPr>
          <w:sz w:val="20"/>
        </w:rPr>
        <w:t xml:space="preserve">III. Требования к использованию лесов</w:t>
      </w:r>
    </w:p>
    <w:p>
      <w:pPr>
        <w:pStyle w:val="2"/>
        <w:jc w:val="center"/>
      </w:pPr>
      <w:r>
        <w:rPr>
          <w:sz w:val="20"/>
        </w:rPr>
        <w:t xml:space="preserve">при осуществлении заготовки и сбора отдельных видов</w:t>
      </w:r>
    </w:p>
    <w:p>
      <w:pPr>
        <w:pStyle w:val="2"/>
        <w:jc w:val="center"/>
      </w:pPr>
      <w:r>
        <w:rPr>
          <w:sz w:val="20"/>
        </w:rPr>
        <w:t xml:space="preserve">недревесных лесных ресурсов</w:t>
      </w:r>
    </w:p>
    <w:p>
      <w:pPr>
        <w:pStyle w:val="0"/>
        <w:jc w:val="both"/>
      </w:pPr>
      <w:r>
        <w:rPr>
          <w:sz w:val="20"/>
        </w:rPr>
      </w:r>
    </w:p>
    <w:p>
      <w:pPr>
        <w:pStyle w:val="0"/>
        <w:ind w:firstLine="540"/>
        <w:jc w:val="both"/>
      </w:pPr>
      <w:r>
        <w:rPr>
          <w:sz w:val="20"/>
        </w:rPr>
        <w:t xml:space="preserve">13. Заготовка пней (заготовка пневого осмола).</w:t>
      </w:r>
    </w:p>
    <w:p>
      <w:pPr>
        <w:pStyle w:val="0"/>
        <w:spacing w:before="200" w:line-rule="auto"/>
        <w:ind w:firstLine="540"/>
        <w:jc w:val="both"/>
      </w:pPr>
      <w:r>
        <w:rPr>
          <w:sz w:val="20"/>
        </w:rPr>
        <w:t xml:space="preserve">Заготовка пней (заготовка пневого осмола) разрешается в лесах любого целевого назначения, в которых она не может нанести ущерба насаждениям, подросту, несомкнувшимся лесным культурам.</w:t>
      </w:r>
    </w:p>
    <w:p>
      <w:pPr>
        <w:pStyle w:val="0"/>
        <w:spacing w:before="200" w:line-rule="auto"/>
        <w:ind w:firstLine="540"/>
        <w:jc w:val="both"/>
      </w:pPr>
      <w:r>
        <w:rPr>
          <w:sz w:val="20"/>
        </w:rPr>
        <w:t xml:space="preserve">Заготовка пневого осмола не допускается в противоэрозионных лесах, на берегозащитных, почвозащитных участках лесов, расположенных вдоль водных объектов, склонов оврагов, в лесах научного или исторического значения, а также в молодняках с полнотой 0,8 - 1,0 и несомкнувшихся лесных культурах.</w:t>
      </w:r>
    </w:p>
    <w:p>
      <w:pPr>
        <w:pStyle w:val="0"/>
        <w:spacing w:before="200" w:line-rule="auto"/>
        <w:ind w:firstLine="540"/>
        <w:jc w:val="both"/>
      </w:pPr>
      <w:r>
        <w:rPr>
          <w:sz w:val="20"/>
        </w:rPr>
        <w:t xml:space="preserve">Ямы, оставленные после заготовки пней (заготовки пневого осмола), должны быть засыпаны плодородным слоем почвы и заровнены.</w:t>
      </w:r>
    </w:p>
    <w:p>
      <w:pPr>
        <w:pStyle w:val="0"/>
        <w:spacing w:before="200" w:line-rule="auto"/>
        <w:ind w:firstLine="540"/>
        <w:jc w:val="both"/>
      </w:pPr>
      <w:r>
        <w:rPr>
          <w:sz w:val="20"/>
        </w:rPr>
        <w:t xml:space="preserve">14. Заготовка бересты.</w:t>
      </w:r>
    </w:p>
    <w:p>
      <w:pPr>
        <w:pStyle w:val="0"/>
        <w:spacing w:before="200" w:line-rule="auto"/>
        <w:ind w:firstLine="540"/>
        <w:jc w:val="both"/>
      </w:pPr>
      <w:r>
        <w:rPr>
          <w:sz w:val="20"/>
        </w:rPr>
        <w:t xml:space="preserve">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на которых не требуется сохранение насаждений), а также со свежесрубленных деревьев на лесосеках при проведении выборочных и сплошных рубок.</w:t>
      </w:r>
    </w:p>
    <w:p>
      <w:pPr>
        <w:pStyle w:val="0"/>
        <w:spacing w:before="200" w:line-rule="auto"/>
        <w:ind w:firstLine="540"/>
        <w:jc w:val="both"/>
      </w:pPr>
      <w:r>
        <w:rPr>
          <w:sz w:val="20"/>
        </w:rPr>
        <w:t xml:space="preserve">Заготовка бересты с растущих деревьев должна производиться в весенне-летний и осенний периоды без повреждения луба. При этом используемая для заготовки часть ствола не должна превышать половины общей высоты дерева.</w:t>
      </w:r>
    </w:p>
    <w:p>
      <w:pPr>
        <w:pStyle w:val="0"/>
        <w:spacing w:before="200" w:line-rule="auto"/>
        <w:ind w:firstLine="540"/>
        <w:jc w:val="both"/>
      </w:pPr>
      <w:r>
        <w:rPr>
          <w:sz w:val="20"/>
        </w:rPr>
        <w:t xml:space="preserve">Заготовка бересты с сухостойных и валежных деревьев производится в течение всего года.</w:t>
      </w:r>
    </w:p>
    <w:p>
      <w:pPr>
        <w:pStyle w:val="0"/>
        <w:spacing w:before="200" w:line-rule="auto"/>
        <w:ind w:firstLine="540"/>
        <w:jc w:val="both"/>
      </w:pPr>
      <w:r>
        <w:rPr>
          <w:sz w:val="20"/>
        </w:rPr>
        <w:t xml:space="preserve">Запрещается рубка деревьев для заготовки бересты.</w:t>
      </w:r>
    </w:p>
    <w:p>
      <w:pPr>
        <w:pStyle w:val="0"/>
        <w:spacing w:before="200" w:line-rule="auto"/>
        <w:ind w:firstLine="540"/>
        <w:jc w:val="both"/>
      </w:pPr>
      <w:r>
        <w:rPr>
          <w:sz w:val="20"/>
        </w:rPr>
        <w:t xml:space="preserve">15. Заготовка коры деревьев и кустарников.</w:t>
      </w:r>
    </w:p>
    <w:p>
      <w:pPr>
        <w:pStyle w:val="0"/>
        <w:spacing w:before="200" w:line-rule="auto"/>
        <w:ind w:firstLine="540"/>
        <w:jc w:val="both"/>
      </w:pPr>
      <w:r>
        <w:rPr>
          <w:sz w:val="20"/>
        </w:rPr>
        <w:t xml:space="preserve">Заготовка коры деревьев и кустарников осуществляется одновременно с рубкой деревьев и кустарников в течение всего года. Ивовое корье заготавливается в весенне-летний период.</w:t>
      </w:r>
    </w:p>
    <w:p>
      <w:pPr>
        <w:pStyle w:val="0"/>
        <w:spacing w:before="200" w:line-rule="auto"/>
        <w:ind w:firstLine="540"/>
        <w:jc w:val="both"/>
      </w:pPr>
      <w:r>
        <w:rPr>
          <w:sz w:val="20"/>
        </w:rPr>
        <w:t xml:space="preserve">Заготовка коры деревьев и кустарников не допускается, если эта деятельность ведет к снижению качества заготовленной лесопродукции.</w:t>
      </w:r>
    </w:p>
    <w:p>
      <w:pPr>
        <w:pStyle w:val="0"/>
        <w:spacing w:before="200" w:line-rule="auto"/>
        <w:ind w:firstLine="540"/>
        <w:jc w:val="both"/>
      </w:pPr>
      <w:r>
        <w:rPr>
          <w:sz w:val="20"/>
        </w:rPr>
        <w:t xml:space="preserve">Для заготовки ивового корья пригодны кустарниковые ивы в возрасте 5 лет и старше, древовидные - 15 лет и старше.</w:t>
      </w:r>
    </w:p>
    <w:p>
      <w:pPr>
        <w:pStyle w:val="0"/>
        <w:spacing w:before="200" w:line-rule="auto"/>
        <w:ind w:firstLine="540"/>
        <w:jc w:val="both"/>
      </w:pPr>
      <w:r>
        <w:rPr>
          <w:sz w:val="20"/>
        </w:rPr>
        <w:t xml:space="preserve">16. Заготовка хвороста.</w:t>
      </w:r>
    </w:p>
    <w:p>
      <w:pPr>
        <w:pStyle w:val="0"/>
        <w:spacing w:before="200" w:line-rule="auto"/>
        <w:ind w:firstLine="540"/>
        <w:jc w:val="both"/>
      </w:pPr>
      <w:r>
        <w:rPr>
          <w:sz w:val="20"/>
        </w:rPr>
        <w:t xml:space="preserve">При заготовке хвороста осуществляется сбор срезанных тонких стволов диаметром в комле до 4 см малоценных сопутствующих пород, подлежащих вырубке или производстве рубок ухода за молодняками естественного и искусственного происхождения основной лесообразующей породы, на которую ведется хозяйство.</w:t>
      </w:r>
    </w:p>
    <w:p>
      <w:pPr>
        <w:pStyle w:val="0"/>
        <w:spacing w:before="200" w:line-rule="auto"/>
        <w:ind w:firstLine="540"/>
        <w:jc w:val="both"/>
      </w:pPr>
      <w:r>
        <w:rPr>
          <w:sz w:val="20"/>
        </w:rPr>
        <w:t xml:space="preserve">При заготовке хвороста не допускается спил деревьев и кустарников, их вершин, сучьев и ветвей.</w:t>
      </w:r>
    </w:p>
    <w:p>
      <w:pPr>
        <w:pStyle w:val="0"/>
        <w:spacing w:before="200" w:line-rule="auto"/>
        <w:ind w:firstLine="540"/>
        <w:jc w:val="both"/>
      </w:pPr>
      <w:r>
        <w:rPr>
          <w:sz w:val="20"/>
        </w:rPr>
        <w:t xml:space="preserve">Не допускается обрубка сучьев и вершин с сырорастущих деревьев. Заготовка хвороста осуществляется в течение всего года.</w:t>
      </w:r>
    </w:p>
    <w:p>
      <w:pPr>
        <w:pStyle w:val="0"/>
        <w:spacing w:before="200" w:line-rule="auto"/>
        <w:ind w:firstLine="540"/>
        <w:jc w:val="both"/>
      </w:pPr>
      <w:r>
        <w:rPr>
          <w:sz w:val="20"/>
        </w:rPr>
        <w:t xml:space="preserve">17. Заготовка валежника.</w:t>
      </w:r>
    </w:p>
    <w:p>
      <w:pPr>
        <w:pStyle w:val="0"/>
        <w:spacing w:before="200" w:line-rule="auto"/>
        <w:ind w:firstLine="540"/>
        <w:jc w:val="both"/>
      </w:pPr>
      <w:r>
        <w:rPr>
          <w:sz w:val="20"/>
        </w:rPr>
        <w:t xml:space="preserve">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и других природных явлений.</w:t>
      </w:r>
    </w:p>
    <w:p>
      <w:pPr>
        <w:pStyle w:val="0"/>
        <w:spacing w:before="200" w:line-rule="auto"/>
        <w:ind w:firstLine="540"/>
        <w:jc w:val="both"/>
      </w:pPr>
      <w:r>
        <w:rPr>
          <w:sz w:val="20"/>
        </w:rPr>
        <w:t xml:space="preserve">Заготовка валежника осуществляется в течение всего года.</w:t>
      </w:r>
    </w:p>
    <w:p>
      <w:pPr>
        <w:pStyle w:val="0"/>
        <w:spacing w:before="200" w:line-rule="auto"/>
        <w:ind w:firstLine="540"/>
        <w:jc w:val="both"/>
      </w:pPr>
      <w:r>
        <w:rPr>
          <w:sz w:val="20"/>
        </w:rPr>
        <w:t xml:space="preserve">При заготовке валежника допускается применение ручного инструмента (ручных пил, топоров, легких бензопил).</w:t>
      </w:r>
    </w:p>
    <w:p>
      <w:pPr>
        <w:pStyle w:val="0"/>
        <w:spacing w:before="200" w:line-rule="auto"/>
        <w:ind w:firstLine="540"/>
        <w:jc w:val="both"/>
      </w:pPr>
      <w:r>
        <w:rPr>
          <w:sz w:val="20"/>
        </w:rPr>
        <w:t xml:space="preserve">18. Заготовка веточного корма.</w:t>
      </w:r>
    </w:p>
    <w:p>
      <w:pPr>
        <w:pStyle w:val="0"/>
        <w:spacing w:before="200" w:line-rule="auto"/>
        <w:ind w:firstLine="540"/>
        <w:jc w:val="both"/>
      </w:pPr>
      <w:r>
        <w:rPr>
          <w:sz w:val="20"/>
        </w:rPr>
        <w:t xml:space="preserve">При заготовке веточного корма осуществляется сбор ветвей толщиной до 1,5 см, заготовленных из побегов лиственных и хвойных пород и предназначенных на корм скоту.</w:t>
      </w:r>
    </w:p>
    <w:p>
      <w:pPr>
        <w:pStyle w:val="0"/>
        <w:spacing w:before="200" w:line-rule="auto"/>
        <w:ind w:firstLine="540"/>
        <w:jc w:val="both"/>
      </w:pPr>
      <w:r>
        <w:rPr>
          <w:sz w:val="20"/>
        </w:rPr>
        <w:t xml:space="preserve">Заготавливают веточный корм из побегов лиственных пород в основном летом, хвойных пород - круглогодично.</w:t>
      </w:r>
    </w:p>
    <w:p>
      <w:pPr>
        <w:pStyle w:val="0"/>
        <w:spacing w:before="200" w:line-rule="auto"/>
        <w:ind w:firstLine="540"/>
        <w:jc w:val="both"/>
      </w:pPr>
      <w:r>
        <w:rPr>
          <w:sz w:val="20"/>
        </w:rPr>
        <w:t xml:space="preserve">Заготовка веточного корма производится со срубленных деревьев при проведении выборочных и сплошных рубок.</w:t>
      </w:r>
    </w:p>
    <w:p>
      <w:pPr>
        <w:pStyle w:val="0"/>
        <w:spacing w:before="200" w:line-rule="auto"/>
        <w:ind w:firstLine="540"/>
        <w:jc w:val="both"/>
      </w:pPr>
      <w:r>
        <w:rPr>
          <w:sz w:val="20"/>
        </w:rPr>
        <w:t xml:space="preserve">19. Заготовка еловых, пихтовых, сосновых лап.</w:t>
      </w:r>
    </w:p>
    <w:p>
      <w:pPr>
        <w:pStyle w:val="0"/>
        <w:spacing w:before="200" w:line-rule="auto"/>
        <w:ind w:firstLine="540"/>
        <w:jc w:val="both"/>
      </w:pPr>
      <w:r>
        <w:rPr>
          <w:sz w:val="20"/>
        </w:rPr>
        <w:t xml:space="preserve">Заготовка еловых, пихтовых, сосновых лап разрешается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p>
      <w:pPr>
        <w:pStyle w:val="0"/>
        <w:spacing w:before="200" w:line-rule="auto"/>
        <w:ind w:firstLine="540"/>
        <w:jc w:val="both"/>
      </w:pPr>
      <w:r>
        <w:rPr>
          <w:sz w:val="20"/>
        </w:rPr>
        <w:t xml:space="preserve">20. Заготовка елей или деревьев других хвойных пород для новогодних праздников.</w:t>
      </w:r>
    </w:p>
    <w:p>
      <w:pPr>
        <w:pStyle w:val="0"/>
        <w:spacing w:before="200" w:line-rule="auto"/>
        <w:ind w:firstLine="540"/>
        <w:jc w:val="both"/>
      </w:pPr>
      <w:r>
        <w:rPr>
          <w:sz w:val="20"/>
        </w:rPr>
        <w:t xml:space="preserve">Заготовка елей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линии электропередачи, зоны затопления и другие площади, где не требуется сохранения подроста и насаждений).</w:t>
      </w:r>
    </w:p>
    <w:p>
      <w:pPr>
        <w:pStyle w:val="0"/>
        <w:spacing w:before="200" w:line-rule="auto"/>
        <w:ind w:firstLine="540"/>
        <w:jc w:val="both"/>
      </w:pPr>
      <w:r>
        <w:rPr>
          <w:sz w:val="20"/>
        </w:rPr>
        <w:t xml:space="preserve">Допускается заготовка елей или деревьев других хвойных пород для новогодних праздников из вершинной части срубленных елей.</w:t>
      </w:r>
    </w:p>
    <w:p>
      <w:pPr>
        <w:pStyle w:val="0"/>
        <w:spacing w:before="200" w:line-rule="auto"/>
        <w:ind w:firstLine="540"/>
        <w:jc w:val="both"/>
      </w:pPr>
      <w:r>
        <w:rPr>
          <w:sz w:val="20"/>
        </w:rPr>
        <w:t xml:space="preserve">21. Заготовка мха, лесной подстилки, опавших листьев, камыша, тростника и подобных лесных ресурсов.</w:t>
      </w:r>
    </w:p>
    <w:p>
      <w:pPr>
        <w:pStyle w:val="0"/>
        <w:spacing w:before="200" w:line-rule="auto"/>
        <w:ind w:firstLine="540"/>
        <w:jc w:val="both"/>
      </w:pPr>
      <w:r>
        <w:rPr>
          <w:sz w:val="20"/>
        </w:rPr>
        <w:t xml:space="preserve">Заготовка мха, лесной подстилки, опавших листьев, камыша, тростника производится с целью их использования в качестве вспомогательного материала для строительства, а также корма и подстилки для сельскохозяйственных животных или приготовления компоста. При их заготовке не должен быть нанесен вред окружающей природной среде.</w:t>
      </w:r>
    </w:p>
    <w:p>
      <w:pPr>
        <w:pStyle w:val="0"/>
        <w:spacing w:before="200" w:line-rule="auto"/>
        <w:ind w:firstLine="540"/>
        <w:jc w:val="both"/>
      </w:pPr>
      <w:r>
        <w:rPr>
          <w:sz w:val="20"/>
        </w:rPr>
        <w:t xml:space="preserve">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pPr>
        <w:pStyle w:val="0"/>
        <w:spacing w:before="200" w:line-rule="auto"/>
        <w:ind w:firstLine="540"/>
        <w:jc w:val="both"/>
      </w:pPr>
      <w:r>
        <w:rPr>
          <w:sz w:val="20"/>
        </w:rPr>
        <w:t xml:space="preserve">Сбор лесной подстилки должен производиться в конце летнего периода, но до наступления листопада, чтобы опадание листвы и хвои создало естественное удобрение лесной почвы.</w:t>
      </w:r>
    </w:p>
    <w:p>
      <w:pPr>
        <w:pStyle w:val="0"/>
        <w:spacing w:before="200" w:line-rule="auto"/>
        <w:ind w:firstLine="540"/>
        <w:jc w:val="both"/>
      </w:pPr>
      <w:r>
        <w:rPr>
          <w:sz w:val="20"/>
        </w:rPr>
        <w:t xml:space="preserve">Запрещается сбор подстилки в лесах, выполняющих функции защиты природных и иных объектов, в лесах, расположенных в водоохранных зонах, в ценных лесах.</w:t>
      </w:r>
    </w:p>
    <w:p>
      <w:pPr>
        <w:pStyle w:val="0"/>
        <w:spacing w:before="200" w:line-rule="auto"/>
        <w:ind w:firstLine="540"/>
        <w:jc w:val="both"/>
      </w:pPr>
      <w:r>
        <w:rPr>
          <w:sz w:val="20"/>
        </w:rPr>
        <w:t xml:space="preserve">22. Заготовка (выкопка) деревьев, кустарников и лиан на лесных участках.</w:t>
      </w:r>
    </w:p>
    <w:p>
      <w:pPr>
        <w:pStyle w:val="0"/>
        <w:spacing w:before="200" w:line-rule="auto"/>
        <w:ind w:firstLine="540"/>
        <w:jc w:val="both"/>
      </w:pPr>
      <w:r>
        <w:rPr>
          <w:sz w:val="20"/>
        </w:rPr>
        <w:t xml:space="preserve">Заготовка (выкопка) деревьев на лесных участках может проводиться на нелесных землях (дороги, просеки) из числа самосева хвойных, твердолиственных пород до 40 лет, мягколиственных пород до 20 лет, в кедровых насаждениях и насаждениях твердолиственных пород семенного происхождения - до 40 лет.</w:t>
      </w:r>
    </w:p>
    <w:p>
      <w:pPr>
        <w:pStyle w:val="0"/>
        <w:spacing w:before="200" w:line-rule="auto"/>
        <w:ind w:firstLine="540"/>
        <w:jc w:val="both"/>
      </w:pPr>
      <w:r>
        <w:rPr>
          <w:sz w:val="20"/>
        </w:rPr>
        <w:t xml:space="preserve">Заготовка (выкопка) деревьев может проводиться на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линии электропередачи, зоны затопления и другие площади, где не требуется сохранения подроста и насаждений).</w:t>
      </w:r>
    </w:p>
    <w:p>
      <w:pPr>
        <w:pStyle w:val="0"/>
        <w:spacing w:before="200" w:line-rule="auto"/>
        <w:ind w:firstLine="540"/>
        <w:jc w:val="both"/>
      </w:pPr>
      <w:r>
        <w:rPr>
          <w:sz w:val="20"/>
        </w:rPr>
        <w:t xml:space="preserve">Заготовка (выкопка)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pPr>
        <w:pStyle w:val="0"/>
        <w:spacing w:before="200" w:line-rule="auto"/>
        <w:ind w:firstLine="540"/>
        <w:jc w:val="both"/>
      </w:pPr>
      <w:r>
        <w:rPr>
          <w:sz w:val="20"/>
        </w:rPr>
        <w:t xml:space="preserve">Ямы, оставленные после заготовки (выкопки) деревьев, кустарников и лиан, должны быть засыпаны плодородным слоем почвы и заровнены.</w:t>
      </w:r>
    </w:p>
    <w:p>
      <w:pPr>
        <w:pStyle w:val="0"/>
        <w:spacing w:before="200" w:line-rule="auto"/>
        <w:ind w:firstLine="540"/>
        <w:jc w:val="both"/>
      </w:pPr>
      <w:r>
        <w:rPr>
          <w:sz w:val="20"/>
        </w:rPr>
        <w:t xml:space="preserve">23. Заготовка веников, ветвей и кустарников для метел и плетения.</w:t>
      </w:r>
    </w:p>
    <w:p>
      <w:pPr>
        <w:pStyle w:val="0"/>
        <w:spacing w:before="200" w:line-rule="auto"/>
        <w:ind w:firstLine="540"/>
        <w:jc w:val="both"/>
      </w:pPr>
      <w:r>
        <w:rPr>
          <w:sz w:val="20"/>
        </w:rPr>
        <w:t xml:space="preserve">Заготовка веников, ветвей и кустарников лиственных пород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pPr>
        <w:pStyle w:val="0"/>
        <w:spacing w:before="200" w:line-rule="auto"/>
        <w:ind w:firstLine="540"/>
        <w:jc w:val="both"/>
      </w:pPr>
      <w:r>
        <w:rPr>
          <w:sz w:val="20"/>
        </w:rPr>
        <w:t xml:space="preserve">Заготовка веников, ветвей и кустарников для метел и плетения не допускается при проведении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p>
      <w:pPr>
        <w:pStyle w:val="0"/>
        <w:spacing w:before="200" w:line-rule="auto"/>
        <w:ind w:firstLine="540"/>
        <w:jc w:val="both"/>
      </w:pPr>
      <w:r>
        <w:rPr>
          <w:sz w:val="20"/>
        </w:rPr>
        <w:t xml:space="preserve">24. Заготовка древесной зелени.</w:t>
      </w:r>
    </w:p>
    <w:p>
      <w:pPr>
        <w:pStyle w:val="0"/>
        <w:spacing w:before="200" w:line-rule="auto"/>
        <w:ind w:firstLine="540"/>
        <w:jc w:val="both"/>
      </w:pPr>
      <w:r>
        <w:rPr>
          <w:sz w:val="20"/>
        </w:rPr>
        <w:t xml:space="preserve">К древесной зелени относятся листья, почки, хвоя и побеги хвойных и лиственных пород с диаметром до 8 мм у основания.</w:t>
      </w:r>
    </w:p>
    <w:p>
      <w:pPr>
        <w:pStyle w:val="0"/>
        <w:spacing w:before="200" w:line-rule="auto"/>
        <w:ind w:firstLine="540"/>
        <w:jc w:val="both"/>
      </w:pPr>
      <w:r>
        <w:rPr>
          <w:sz w:val="20"/>
        </w:rPr>
        <w:t xml:space="preserve">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pPr>
        <w:pStyle w:val="0"/>
        <w:spacing w:before="200" w:line-rule="auto"/>
        <w:ind w:firstLine="540"/>
        <w:jc w:val="both"/>
      </w:pPr>
      <w:r>
        <w:rPr>
          <w:sz w:val="20"/>
        </w:rPr>
        <w:t xml:space="preserve">Для производства пихтового масла разрешается ручная заготовка древесной зелени (пихтовой лапки) в спелых пихтовых насаждениях 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прямыми и гладкими, без отлупов, расщепов, задиров и надломов, а длина оставляемых на деревьях оснований сучьев должна быть не менее 30 см.</w:t>
      </w:r>
    </w:p>
    <w:p>
      <w:pPr>
        <w:pStyle w:val="0"/>
        <w:spacing w:before="200" w:line-rule="auto"/>
        <w:ind w:firstLine="540"/>
        <w:jc w:val="both"/>
      </w:pPr>
      <w:r>
        <w:rPr>
          <w:sz w:val="20"/>
        </w:rPr>
        <w:t xml:space="preserve">Повторная заготовка пихтовой лапки в одних и тех же насаждениях допускается не ранее чем через 4 - 5 лет.</w:t>
      </w:r>
    </w:p>
    <w:p>
      <w:pPr>
        <w:pStyle w:val="0"/>
        <w:spacing w:before="200" w:line-rule="auto"/>
        <w:ind w:firstLine="540"/>
        <w:jc w:val="both"/>
      </w:pPr>
      <w:r>
        <w:rPr>
          <w:sz w:val="20"/>
        </w:rPr>
        <w:t xml:space="preserve">Заготовка древесной зелени не допускается при проведении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28.07.2020 N 496</w:t>
            <w:br/>
            <w:t>"Об утверждении Правил заготовки и сбора недревесных лесных ресурсов"</w:t>
            <w:br/>
            <w:t>(Заре...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3004&amp;dst=100199" TargetMode = "External"/>
	<Relationship Id="rId8" Type="http://schemas.openxmlformats.org/officeDocument/2006/relationships/hyperlink" Target="https://login.consultant.ru/link/?req=doc&amp;base=LAW&amp;n=455834&amp;dst=100142" TargetMode = "External"/>
	<Relationship Id="rId9" Type="http://schemas.openxmlformats.org/officeDocument/2006/relationships/hyperlink" Target="https://login.consultant.ru/link/?req=doc&amp;base=LAW&amp;n=453004&amp;dst=100199" TargetMode = "External"/>
	<Relationship Id="rId10" Type="http://schemas.openxmlformats.org/officeDocument/2006/relationships/hyperlink" Target="https://login.consultant.ru/link/?req=doc&amp;base=LAW&amp;n=453004&amp;dst=100195" TargetMode = "External"/>
	<Relationship Id="rId11" Type="http://schemas.openxmlformats.org/officeDocument/2006/relationships/hyperlink" Target="https://login.consultant.ru/link/?req=doc&amp;base=LAW&amp;n=453004&amp;dst=777" TargetMode = "External"/>
	<Relationship Id="rId12" Type="http://schemas.openxmlformats.org/officeDocument/2006/relationships/hyperlink" Target="https://login.consultant.ru/link/?req=doc&amp;base=LAW&amp;n=453004&amp;dst=100198" TargetMode = "External"/>
	<Relationship Id="rId13" Type="http://schemas.openxmlformats.org/officeDocument/2006/relationships/hyperlink" Target="https://login.consultant.ru/link/?req=doc&amp;base=LAW&amp;n=453004&amp;dst=100786" TargetMode = "External"/>
	<Relationship Id="rId14" Type="http://schemas.openxmlformats.org/officeDocument/2006/relationships/hyperlink" Target="https://login.consultant.ru/link/?req=doc&amp;base=LAW&amp;n=453004&amp;dst=893" TargetMode = "External"/>
	<Relationship Id="rId15" Type="http://schemas.openxmlformats.org/officeDocument/2006/relationships/hyperlink" Target="https://login.consultant.ru/link/?req=doc&amp;base=LAW&amp;n=453004&amp;dst=100107" TargetMode = "External"/>
	<Relationship Id="rId16" Type="http://schemas.openxmlformats.org/officeDocument/2006/relationships/hyperlink" Target="https://login.consultant.ru/link/?req=doc&amp;base=LAW&amp;n=453004" TargetMode = "External"/>
	<Relationship Id="rId17" Type="http://schemas.openxmlformats.org/officeDocument/2006/relationships/hyperlink" Target="https://login.consultant.ru/link/?req=doc&amp;base=LAW&amp;n=453004&amp;dst=100164" TargetMode = "External"/>
	<Relationship Id="rId18" Type="http://schemas.openxmlformats.org/officeDocument/2006/relationships/hyperlink" Target="https://login.consultant.ru/link/?req=doc&amp;base=LAW&amp;n=453004&amp;dst=100164" TargetMode = "External"/>
	<Relationship Id="rId19" Type="http://schemas.openxmlformats.org/officeDocument/2006/relationships/hyperlink" Target="https://login.consultant.ru/link/?req=doc&amp;base=LAW&amp;n=9866" TargetMode = "External"/>
	<Relationship Id="rId20" Type="http://schemas.openxmlformats.org/officeDocument/2006/relationships/hyperlink" Target="https://login.consultant.ru/link/?req=doc&amp;base=LAW&amp;n=453004&amp;dst=441" TargetMode = "External"/>
	<Relationship Id="rId21" Type="http://schemas.openxmlformats.org/officeDocument/2006/relationships/hyperlink" Target="https://login.consultant.ru/link/?req=doc&amp;base=LAW&amp;n=453004&amp;dst=895" TargetMode = "External"/>
	<Relationship Id="rId22" Type="http://schemas.openxmlformats.org/officeDocument/2006/relationships/hyperlink" Target="https://login.consultant.ru/link/?req=doc&amp;base=LAW&amp;n=453004&amp;dst=884" TargetMode = "External"/>
	<Relationship Id="rId23" Type="http://schemas.openxmlformats.org/officeDocument/2006/relationships/hyperlink" Target="https://login.consultant.ru/link/?req=doc&amp;base=LAW&amp;n=453004&amp;dst=357" TargetMode = "External"/>
	<Relationship Id="rId24" Type="http://schemas.openxmlformats.org/officeDocument/2006/relationships/hyperlink" Target="https://login.consultant.ru/link/?req=doc&amp;base=LAW&amp;n=453004&amp;dst=100854" TargetMode = "External"/>
	<Relationship Id="rId25" Type="http://schemas.openxmlformats.org/officeDocument/2006/relationships/hyperlink" Target="https://login.consultant.ru/link/?req=doc&amp;base=LAW&amp;n=453004&amp;dst=493" TargetMode = "External"/>
	<Relationship Id="rId26" Type="http://schemas.openxmlformats.org/officeDocument/2006/relationships/hyperlink" Target="https://login.consultant.ru/link/?req=doc&amp;base=LAW&amp;n=453004&amp;dst=100847" TargetMode = "External"/>
	<Relationship Id="rId27" Type="http://schemas.openxmlformats.org/officeDocument/2006/relationships/hyperlink" Target="https://login.consultant.ru/link/?req=doc&amp;base=LAW&amp;n=453004&amp;dst=877" TargetMode = "External"/>
	<Relationship Id="rId28" Type="http://schemas.openxmlformats.org/officeDocument/2006/relationships/hyperlink" Target="https://login.consultant.ru/link/?req=doc&amp;base=LAW&amp;n=453004&amp;dst=461" TargetMode = "External"/>
	<Relationship Id="rId29" Type="http://schemas.openxmlformats.org/officeDocument/2006/relationships/hyperlink" Target="https://login.consultant.ru/link/?req=doc&amp;base=LAW&amp;n=453004&amp;dst=486" TargetMode = "External"/>
	<Relationship Id="rId30" Type="http://schemas.openxmlformats.org/officeDocument/2006/relationships/hyperlink" Target="https://login.consultant.ru/link/?req=doc&amp;base=LAW&amp;n=453004&amp;dst=490" TargetMode = "External"/>
	<Relationship Id="rId31" Type="http://schemas.openxmlformats.org/officeDocument/2006/relationships/hyperlink" Target="https://login.consultant.ru/link/?req=doc&amp;base=LAW&amp;n=453004&amp;dst=100612" TargetMode = "External"/>
	<Relationship Id="rId32" Type="http://schemas.openxmlformats.org/officeDocument/2006/relationships/hyperlink" Target="https://login.consultant.ru/link/?req=doc&amp;base=LAW&amp;n=453004&amp;dst=1006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28.07.2020 N 496
"Об утверждении Правил заготовки и сбора недревесных лесных ресурсов"
(Зарегистрировано в Минюсте России 16.12.2020 N 61508)</dc:title>
  <dcterms:created xsi:type="dcterms:W3CDTF">2024-03-14T06:45:15Z</dcterms:created>
</cp:coreProperties>
</file>