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34" w:rsidRDefault="00D30BE7">
      <w:pPr>
        <w:pStyle w:val="ConsPlusTitle"/>
        <w:spacing w:after="240"/>
        <w:jc w:val="center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t>МЕТОДИЧЕСКИЕ УКАЗАНИЯ</w:t>
      </w:r>
    </w:p>
    <w:p w:rsidR="005F4134" w:rsidRDefault="00D30B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долгосрочных планов социально-экономического развития опорных населенных пунктов и прилегающих территорий</w:t>
      </w:r>
    </w:p>
    <w:p w:rsidR="005F4134" w:rsidRDefault="005F413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F4134" w:rsidRDefault="00D30BE7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5F4134" w:rsidRDefault="005F4134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5F4134" w:rsidRDefault="00D30BE7">
      <w:pPr>
        <w:pStyle w:val="ConsPlusTitle"/>
        <w:spacing w:line="360" w:lineRule="exact"/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Термины</w:t>
      </w:r>
      <w:r>
        <w:rPr>
          <w:rFonts w:ascii="Times New Roman" w:hAnsi="Times New Roman"/>
          <w:b w:val="0"/>
          <w:sz w:val="28"/>
          <w:szCs w:val="28"/>
        </w:rPr>
        <w:t xml:space="preserve"> «долгосрочный план социально-экономического развития опорного населенного пункта и прилегающих территорий», «мероприятия долгосрочного плана социально-экономического развития опорного населенного пункта и прилегающих территорий», «опорный населенный пункт</w:t>
      </w:r>
      <w:r>
        <w:rPr>
          <w:rFonts w:ascii="Times New Roman" w:hAnsi="Times New Roman"/>
          <w:b w:val="0"/>
          <w:sz w:val="28"/>
          <w:szCs w:val="28"/>
        </w:rPr>
        <w:t>», «прилегающие населенные пункты», «прилегающая территория», «сельская агломерация», «целевые индикаторы реализации долгосрочного плана социально-экономического развития опорного населенного пункта и прилегающих территорий», используемые в настоящих Метод</w:t>
      </w:r>
      <w:r>
        <w:rPr>
          <w:rFonts w:ascii="Times New Roman" w:hAnsi="Times New Roman"/>
          <w:b w:val="0"/>
          <w:sz w:val="28"/>
          <w:szCs w:val="28"/>
        </w:rPr>
        <w:t>ических указаниях по разработке долгосрочных планов социально-экономического развития опорных населенных пунктов и прилегающих территорий (далее соответственно – Методические указания, соответствуют терминологии, приведенной в Правилах разработки, согласов</w:t>
      </w:r>
      <w:r>
        <w:rPr>
          <w:rFonts w:ascii="Times New Roman" w:hAnsi="Times New Roman"/>
          <w:b w:val="0"/>
          <w:sz w:val="28"/>
          <w:szCs w:val="28"/>
        </w:rPr>
        <w:t>ания, утверждения и мониторинга реализации долгосрочных планов социально-экономического развития опорных населенных пунктов и прилегающих территорий, утвержденных постановлением Правительства Российской Федерации от … № … (Собрание законодательства Российс</w:t>
      </w:r>
      <w:r>
        <w:rPr>
          <w:rFonts w:ascii="Times New Roman" w:hAnsi="Times New Roman"/>
          <w:b w:val="0"/>
          <w:sz w:val="28"/>
          <w:szCs w:val="28"/>
        </w:rPr>
        <w:t xml:space="preserve">кой Федерации, …, № …, ст. …) (далее – Правила). </w:t>
      </w:r>
    </w:p>
    <w:p w:rsidR="005F4134" w:rsidRDefault="005F4134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5F4134" w:rsidRDefault="00D30BE7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II. Разработка проекта долгосрочного плана социально-экономического развития опорного населенного пункта и прилегающих территорий</w:t>
      </w:r>
    </w:p>
    <w:p w:rsidR="005F4134" w:rsidRDefault="005F4134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5F4134" w:rsidRDefault="005F4134">
      <w:pPr>
        <w:pStyle w:val="ConsPlusTitle"/>
        <w:spacing w:line="360" w:lineRule="exact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Разработка проекта долгосрочного плана социально-экономического развит</w:t>
      </w:r>
      <w:r>
        <w:rPr>
          <w:rFonts w:ascii="Times New Roman" w:hAnsi="Times New Roman"/>
          <w:b w:val="0"/>
          <w:sz w:val="28"/>
          <w:szCs w:val="28"/>
        </w:rPr>
        <w:t>ия опорного населенного пункта и прилегающих территорий (далее – долгосрочный план развития) основывается: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 на результатах оценки текущего уровня инфраструктурного развития сельской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 на результатах оценки предшествующей, текущей и прогнози</w:t>
      </w:r>
      <w:r>
        <w:rPr>
          <w:rFonts w:ascii="Times New Roman" w:hAnsi="Times New Roman"/>
          <w:b w:val="0"/>
          <w:sz w:val="28"/>
          <w:szCs w:val="28"/>
        </w:rPr>
        <w:t>руемой демографической ситуации на территории сельской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в) на результатах оценки предшествующей, текущей и прогнозируемой экономической ситуации на территории сельской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г) на результатах оценки требуемого уровня инфраструктурного ра</w:t>
      </w:r>
      <w:r>
        <w:rPr>
          <w:rFonts w:ascii="Times New Roman" w:hAnsi="Times New Roman"/>
          <w:b w:val="0"/>
          <w:sz w:val="28"/>
          <w:szCs w:val="28"/>
        </w:rPr>
        <w:t>звития сельской агломерации с учетом демографического прогноза и прогнозируемой экономической ситуации.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Разработка проекта долгосрочного плана развития включает в себя следующие этапы: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проведение оценки текущего уровня инфраструктурного развития </w:t>
      </w:r>
      <w:r>
        <w:rPr>
          <w:rFonts w:ascii="Times New Roman" w:hAnsi="Times New Roman"/>
          <w:b w:val="0"/>
          <w:sz w:val="28"/>
          <w:szCs w:val="28"/>
        </w:rPr>
        <w:lastRenderedPageBreak/>
        <w:t>сель</w:t>
      </w:r>
      <w:r>
        <w:rPr>
          <w:rFonts w:ascii="Times New Roman" w:hAnsi="Times New Roman"/>
          <w:b w:val="0"/>
          <w:sz w:val="28"/>
          <w:szCs w:val="28"/>
        </w:rPr>
        <w:t>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составление демографического прогноза и прогноза экономического развития сельской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 проведение оценки требуемого уровня инфраструктурного развития сельской агломерации;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 разработку комплекса мероприятий долгосрочного пл</w:t>
      </w:r>
      <w:r>
        <w:rPr>
          <w:rFonts w:ascii="Times New Roman" w:hAnsi="Times New Roman"/>
          <w:b w:val="0"/>
          <w:sz w:val="28"/>
          <w:szCs w:val="28"/>
        </w:rPr>
        <w:t>ана социально-экономического развития опорного населенного пункта и прилегающих территорий (далее соответственно – комплекс мероприятий долгосрочного плана развития, мероприятия долгосрочного плана развития), направленных на формирование на территории сель</w:t>
      </w:r>
      <w:r>
        <w:rPr>
          <w:rFonts w:ascii="Times New Roman" w:hAnsi="Times New Roman"/>
          <w:b w:val="0"/>
          <w:sz w:val="28"/>
          <w:szCs w:val="28"/>
        </w:rPr>
        <w:t>ской агломерации совокупности объектов инфраструктуры, необходимой и достаточной для обеспечения требуемого уровня доступности для жителей сельской агломерации набора соответствующих услуг;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формирование проекта долгосрочного плана развития, как единого </w:t>
      </w:r>
      <w:r>
        <w:rPr>
          <w:rFonts w:ascii="Times New Roman" w:hAnsi="Times New Roman"/>
          <w:b w:val="0"/>
          <w:sz w:val="28"/>
          <w:szCs w:val="28"/>
        </w:rPr>
        <w:t>документа.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 Под оценкой текущего уровня инфраструктурного развития сельской агломерации понимается развернутый анализ состояния имеющихся объектов инфраструктуры сельской агломерации и уровня доступности для жителей сельской агломерации набора услуг, пре</w:t>
      </w:r>
      <w:r>
        <w:rPr>
          <w:rFonts w:ascii="Times New Roman" w:hAnsi="Times New Roman"/>
          <w:b w:val="0"/>
          <w:sz w:val="28"/>
          <w:szCs w:val="28"/>
        </w:rPr>
        <w:t>доставление которых осуществляется с использованием соответствующих объектов инфраструктуры сельской агломерации, проводимый на момент разработки проекта долгосрочного плана развития.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этапе проведения оценки текущего уровня инфраструктурного развития се</w:t>
      </w:r>
      <w:r>
        <w:rPr>
          <w:rFonts w:ascii="Times New Roman" w:hAnsi="Times New Roman"/>
          <w:b w:val="0"/>
          <w:sz w:val="28"/>
          <w:szCs w:val="28"/>
        </w:rPr>
        <w:t>льской агломерации проводится: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 развернутый анализ текущей демографической ситуации на территории сельской агломерации, в том числе в разрезе населенных пунктов;</w:t>
      </w:r>
    </w:p>
    <w:p w:rsidR="005F4134" w:rsidRDefault="00D30BE7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 развернутый анализ текущего состояния объектов инфраструктуры сельской агломерации, в том числе в разрезе населенных пун</w:t>
      </w:r>
      <w:r>
        <w:rPr>
          <w:rFonts w:ascii="Times New Roman" w:hAnsi="Times New Roman"/>
          <w:b w:val="0"/>
          <w:sz w:val="28"/>
          <w:szCs w:val="28"/>
        </w:rPr>
        <w:t>ктов;</w:t>
      </w:r>
    </w:p>
    <w:p w:rsidR="005F4134" w:rsidRDefault="00D30BE7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Развернутый анализ текущей демографической ситуации на территории сельской агломерации, осуществляется на основании Базы данных статистических показателей, характеризующих состояние экономики и социальной сферы муниципального образования, формируе</w:t>
      </w:r>
      <w:r>
        <w:rPr>
          <w:sz w:val="28"/>
          <w:szCs w:val="28"/>
        </w:rPr>
        <w:t>мых Федеральной службой государственной статистики в соответствии с разделом 1.33 «Муниципальная статистика» Федерального плана статистических работ, утвержденного распоряжением Правительства Российской Федерации от 06.05.2008 № 671-р (Собрание законодател</w:t>
      </w:r>
      <w:r>
        <w:rPr>
          <w:sz w:val="28"/>
          <w:szCs w:val="28"/>
        </w:rPr>
        <w:t xml:space="preserve">ьства Российской Федерации, …, № …, ст. …) (далее – База данных по муниципальным образованиям) .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для проведения развернутого анализа текущей </w:t>
      </w:r>
      <w:r>
        <w:rPr>
          <w:sz w:val="28"/>
          <w:szCs w:val="28"/>
          <w:shd w:val="clear" w:color="auto" w:fill="FFFFFF" w:themeFill="background1"/>
        </w:rPr>
        <w:t>демографической ситуации на территории сельской агломерации, на территории опорного населенно</w:t>
      </w:r>
      <w:r>
        <w:rPr>
          <w:sz w:val="28"/>
          <w:szCs w:val="28"/>
          <w:shd w:val="clear" w:color="auto" w:fill="FFFFFF" w:themeFill="background1"/>
        </w:rPr>
        <w:t>го пункта и прилегающих населенных пунктов, входящих в состав сельской агломерации, приведен в приложениях №№ 1, 2 к</w:t>
      </w:r>
      <w:r>
        <w:rPr>
          <w:sz w:val="28"/>
          <w:szCs w:val="28"/>
        </w:rPr>
        <w:t xml:space="preserve"> настоящим Методическим указаниям.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Развернутый анализ текущего состояния объектов инфраструктуры сельской агломерации осуществляется на о</w:t>
      </w:r>
      <w:r>
        <w:rPr>
          <w:sz w:val="28"/>
          <w:szCs w:val="28"/>
        </w:rPr>
        <w:t>сновании следующего состава первичных данных: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данные о наличии и месторасположении объектов инфраструктуры, предназначенных для размещения и осуществления в них деятельности соответствующих организаций или их структурных подразделений;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данные о техни</w:t>
      </w:r>
      <w:r>
        <w:rPr>
          <w:sz w:val="28"/>
          <w:szCs w:val="28"/>
        </w:rPr>
        <w:t>ческом состоянии объектов инфраструктуры, предназначенных для размещения и осуществления в них деятельности соответствующих организаций или их структурных подразделений;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количественно характеризующие деятельность соответствующих организаций или </w:t>
      </w:r>
      <w:r>
        <w:rPr>
          <w:sz w:val="28"/>
          <w:szCs w:val="28"/>
        </w:rPr>
        <w:t>их структурных подразделений, в том числе данные о мощности, численности (контингенте) получателей услуг и кадровом обеспечении;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 об оснащенности соответствующих организаций или их структурных подразделений необходимыми транспортными средствами (п</w:t>
      </w:r>
      <w:r>
        <w:rPr>
          <w:sz w:val="28"/>
          <w:szCs w:val="28"/>
        </w:rPr>
        <w:t>ри наличии соответствующих нормативных требований).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показателей для развернутого анализа текущего состояния объектов инфраструктуры сельской агломерации </w:t>
      </w:r>
      <w:r>
        <w:rPr>
          <w:rFonts w:ascii="Times New Roman" w:hAnsi="Times New Roman"/>
          <w:b w:val="0"/>
          <w:sz w:val="28"/>
          <w:szCs w:val="28"/>
          <w:shd w:val="clear" w:color="auto" w:fill="FFFFFF" w:themeFill="background1"/>
        </w:rPr>
        <w:t xml:space="preserve">приведен в приложении № 3 к </w:t>
      </w:r>
      <w:r>
        <w:rPr>
          <w:rFonts w:ascii="Times New Roman" w:hAnsi="Times New Roman"/>
          <w:b w:val="0"/>
          <w:sz w:val="28"/>
          <w:szCs w:val="28"/>
        </w:rPr>
        <w:t>настоящим Методическим указаниям.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Прогноз развития демографической ситуации строится на основе результатов развернутого анализа текущей демографической ситуации на территории сельской агломерации, подходы к которому изложены в пункте 5 настоящих Методических указаний.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осу</w:t>
      </w:r>
      <w:r>
        <w:rPr>
          <w:sz w:val="28"/>
          <w:szCs w:val="28"/>
        </w:rPr>
        <w:t>ществляется расчет прогнозных значений, основанный на предшествующей динамике демографических показателей.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численности населения в зависимости от полноты имеющихся данных можно рассчитать двумя способами: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способ</w:t>
      </w:r>
      <w:r>
        <w:rPr>
          <w:sz w:val="28"/>
          <w:szCs w:val="28"/>
        </w:rPr>
        <w:t xml:space="preserve"> – экстраполяция данных с учетом ср</w:t>
      </w:r>
      <w:r>
        <w:rPr>
          <w:sz w:val="28"/>
          <w:szCs w:val="28"/>
        </w:rPr>
        <w:t>еднего абсолютного прироста численности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ЧН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+ САП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±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,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прогнозируемая численность населения (человек);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ЧН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фактическая численность населения на начало текущего года (человек);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САП – среднегодовой абсолютный прирост численности нас</w:t>
      </w:r>
      <w:r>
        <w:rPr>
          <w:sz w:val="28"/>
          <w:szCs w:val="28"/>
        </w:rPr>
        <w:t>еления (человек);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число лет, на которые рассчитывается прогноз;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±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ошибка прогноза каждого года (1%).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способ</w:t>
      </w:r>
      <w:r>
        <w:rPr>
          <w:sz w:val="28"/>
          <w:szCs w:val="28"/>
        </w:rPr>
        <w:t xml:space="preserve"> – регрессия с учетом показателей, характеризующих естественный и механический прирост численности</w:t>
      </w:r>
    </w:p>
    <w:p w:rsidR="005F4134" w:rsidRDefault="005F4134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</w:p>
    <w:p w:rsidR="005F4134" w:rsidRDefault="00D30BE7">
      <w:pPr>
        <w:pStyle w:val="ConsPlusNormal"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position w:val="-38"/>
          <w:sz w:val="28"/>
          <w:szCs w:val="28"/>
          <w:lang w:val="en-US"/>
        </w:rPr>
        <w:object w:dxaOrig="3540" w:dyaOrig="960">
          <v:shape id="_x0000_i0" o:spid="_x0000_i1025" type="#_x0000_t75" style="width:177pt;height:48pt;mso-wrap-distance-left:0;mso-wrap-distance-top:0;mso-wrap-distance-right:0;mso-wrap-distance-bottom:0" o:ole="">
            <v:imagedata r:id="rId6" o:title=""/>
            <v:path textboxrect="0,0,0,0"/>
          </v:shape>
          <o:OLEObject Type="Embed" ProgID="Equation.3" ShapeID="_x0000_i0" DrawAspect="Content" ObjectID="_1763803895" r:id="rId7"/>
        </w:object>
      </w:r>
      <w:r>
        <w:rPr>
          <w:sz w:val="28"/>
          <w:szCs w:val="28"/>
        </w:rPr>
        <w:t xml:space="preserve">  ,</w:t>
      </w:r>
    </w:p>
    <w:p w:rsidR="005F4134" w:rsidRDefault="00D30BE7">
      <w:pPr>
        <w:pStyle w:val="ConsPlusNormal"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прогнозируемая численность населения (человек);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ЧН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фактическая численность населения на начало текущего года (человек);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– естественный среднегодовой прирост населения (%);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 – среднегодовая разница миграции населения (%);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число лет, на которые рассчитывается прогноз;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±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ошибка прогноза каждого </w:t>
      </w:r>
      <w:r>
        <w:rPr>
          <w:sz w:val="28"/>
          <w:szCs w:val="28"/>
        </w:rPr>
        <w:t>года (1%).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при наличии в прогнозируемом периоде факторов, точечно влияющих на численность населения как сельской агломерации, так и отдельных населенных пунктов, осуществляется корректировка значений, полученных на первом этапе прогнозирова</w:t>
      </w:r>
      <w:r>
        <w:rPr>
          <w:sz w:val="28"/>
          <w:szCs w:val="28"/>
        </w:rPr>
        <w:t xml:space="preserve">ния численности населения.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Табличная форма представления результатов прогноза развития демографической ситуации на территории сельской агломерации приведена в приложении № 4 к настоящим</w:t>
      </w:r>
      <w:r>
        <w:rPr>
          <w:sz w:val="28"/>
          <w:szCs w:val="28"/>
        </w:rPr>
        <w:t xml:space="preserve"> Методическим указаниям.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Прогноз экономического развития сельской а</w:t>
      </w:r>
      <w:r>
        <w:rPr>
          <w:sz w:val="28"/>
          <w:szCs w:val="28"/>
        </w:rPr>
        <w:t>гломерации строится на основе статистических показателей, характеризующих в динамике экономическую ситуацию на территории сельской агломерации, а также на основе данных о текущем и планируемом размещении производительных сил на территории сельской агломера</w:t>
      </w:r>
      <w:r>
        <w:rPr>
          <w:sz w:val="28"/>
          <w:szCs w:val="28"/>
        </w:rPr>
        <w:t>ции.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FF0000"/>
          <w:sz w:val="36"/>
          <w:szCs w:val="36"/>
        </w:rPr>
        <w:t xml:space="preserve"> </w:t>
      </w:r>
      <w:r>
        <w:rPr>
          <w:sz w:val="28"/>
          <w:szCs w:val="28"/>
        </w:rPr>
        <w:t>Источниками данных для показателей, характеризующих в динамике экономическую ситуацию на территории сельской агломерации являются: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База данных по муниципальным образованиям;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Отчеты региональных органов исполнительной власти в сфере труда и з</w:t>
      </w:r>
      <w:r>
        <w:rPr>
          <w:sz w:val="28"/>
          <w:szCs w:val="28"/>
        </w:rPr>
        <w:t>анятости.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показателей, характеризующих в динамике предшествующую и текущую </w:t>
      </w:r>
      <w:r>
        <w:rPr>
          <w:sz w:val="28"/>
          <w:szCs w:val="28"/>
          <w:shd w:val="clear" w:color="auto" w:fill="FFFFFF" w:themeFill="background1"/>
        </w:rPr>
        <w:t>экономическую ситуацию на территории сельской агломерации, приведен в приложении № 5 к настоящим</w:t>
      </w:r>
      <w:r>
        <w:rPr>
          <w:sz w:val="28"/>
          <w:szCs w:val="28"/>
        </w:rPr>
        <w:t xml:space="preserve"> Методическим указаниям.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color w:val="FF0000"/>
          <w:sz w:val="36"/>
          <w:szCs w:val="36"/>
        </w:rPr>
        <w:t xml:space="preserve"> </w:t>
      </w:r>
      <w:r>
        <w:rPr>
          <w:sz w:val="28"/>
          <w:szCs w:val="28"/>
        </w:rPr>
        <w:t>Оценка текущего и планируемого размещения произ</w:t>
      </w:r>
      <w:r>
        <w:rPr>
          <w:sz w:val="28"/>
          <w:szCs w:val="28"/>
        </w:rPr>
        <w:t xml:space="preserve">водительных сил на территории сельской агломерации может быть проведена на основании открытых источников данных Федеральной налоговой службы, размещенных в Информационно-телекоммуникационной сети «Интернет» по адресу: </w:t>
      </w:r>
      <w:r>
        <w:rPr>
          <w:rStyle w:val="af8"/>
          <w:color w:val="auto"/>
          <w:sz w:val="28"/>
          <w:szCs w:val="28"/>
          <w:u w:val="none"/>
        </w:rPr>
        <w:t>https://bo.nalog.ru/</w:t>
      </w:r>
      <w:r>
        <w:rPr>
          <w:sz w:val="28"/>
          <w:szCs w:val="28"/>
        </w:rPr>
        <w:t>, а также при непо</w:t>
      </w:r>
      <w:r>
        <w:rPr>
          <w:sz w:val="28"/>
          <w:szCs w:val="28"/>
        </w:rPr>
        <w:t>средственном взаимодействии исполнительных органов субъекта Российской Федерации и органов местного самоуправления с хозяйствующими субъектами, ведущими свою деятельность на территории сельской агломерации.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текущего и планируемого размещения произво</w:t>
      </w:r>
      <w:r>
        <w:rPr>
          <w:sz w:val="28"/>
          <w:szCs w:val="28"/>
        </w:rPr>
        <w:t xml:space="preserve">дительных сил на территории сельской агломерации должна быть проведена в разрезе хозяйствующих субъектов, обеспечивающих </w:t>
      </w:r>
      <w:r>
        <w:rPr>
          <w:sz w:val="28"/>
          <w:szCs w:val="28"/>
          <w:shd w:val="clear" w:color="auto" w:fill="FFFFFF" w:themeFill="background1"/>
        </w:rPr>
        <w:t>не менее 50 процентов рабочих мест на территории сельской агломерации и (или) формирующих в совокупности не менее 50 процентов налоговы</w:t>
      </w:r>
      <w:r>
        <w:rPr>
          <w:sz w:val="28"/>
          <w:szCs w:val="28"/>
          <w:shd w:val="clear" w:color="auto" w:fill="FFFFFF" w:themeFill="background1"/>
        </w:rPr>
        <w:t>х отчислений, собираемых на территории сельской агломерации. При этом оценка текущего</w:t>
      </w:r>
      <w:r>
        <w:rPr>
          <w:sz w:val="28"/>
          <w:szCs w:val="28"/>
        </w:rPr>
        <w:t xml:space="preserve"> и планируемого размещения на территории сельской агломерации производительных сил субъектов малого предпринимательства может быть проведена по общей совокупности субъекто</w:t>
      </w:r>
      <w:r>
        <w:rPr>
          <w:sz w:val="28"/>
          <w:szCs w:val="28"/>
        </w:rPr>
        <w:t xml:space="preserve">в малого предпринимательства.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текущего и планируемого размещения производительных сил на территории сельской агломерации оформляются в аналитическую таблицу по форме, приведенной </w:t>
      </w:r>
      <w:r>
        <w:rPr>
          <w:sz w:val="28"/>
          <w:szCs w:val="28"/>
          <w:shd w:val="clear" w:color="auto" w:fill="FFFFFF" w:themeFill="background1"/>
        </w:rPr>
        <w:t>в приложении № 6 к</w:t>
      </w:r>
      <w:r>
        <w:rPr>
          <w:sz w:val="28"/>
          <w:szCs w:val="28"/>
        </w:rPr>
        <w:t xml:space="preserve"> настоящим Методическим указаниям.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Под оценкой требуемого уровня инфраструктурного развития сельской агломерации понимается определение потребностей сельской агломерации в тех или иных объектах инфраструктуры, количественные и качественные характеристики которой позволили бы обеспечить тр</w:t>
      </w:r>
      <w:r>
        <w:rPr>
          <w:sz w:val="28"/>
          <w:szCs w:val="28"/>
        </w:rPr>
        <w:t>ебуемый, исходя из нормативов градостроительного проектирования, демографического прогноза, иных параметров уровень доступности для жителей сельской агломерации набора социально-значимых услуг.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требуемого уровня инфраструктурного развития сельской а</w:t>
      </w:r>
      <w:r>
        <w:rPr>
          <w:sz w:val="28"/>
          <w:szCs w:val="28"/>
        </w:rPr>
        <w:t>гломерации осуществляется на конец последнего года реализации долгосрочного плана развития.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требуемого уровня инфраструктурного развития сельской агломерации служат основой для формирования комплекса мероприятий долгосрочного плана развит</w:t>
      </w:r>
      <w:r>
        <w:rPr>
          <w:sz w:val="28"/>
          <w:szCs w:val="28"/>
        </w:rPr>
        <w:t xml:space="preserve">ия. 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Минсельхоз России в рамках проведения комплексной экспертизы социально-экономического положения сельской агломерации, предусмотренной пунктом 17 Правил, при оценке целесообразности, оптимальности и достаточности комплекса мероприятий долгосрочного пла</w:t>
      </w:r>
      <w:r>
        <w:rPr>
          <w:sz w:val="28"/>
          <w:szCs w:val="28"/>
        </w:rPr>
        <w:t xml:space="preserve">на развития, в том числе анализирует результаты оценки требуемого уровня инфраструктурного развития сельской агломерации и дает заключение об их обоснованности.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12. Комплекс мероприятий долгосрочного плана развития должен быть направлен на комплексное соц</w:t>
      </w:r>
      <w:r>
        <w:rPr>
          <w:rFonts w:ascii="Times New Roman" w:hAnsi="Times New Roman"/>
          <w:b w:val="0"/>
          <w:sz w:val="28"/>
          <w:szCs w:val="28"/>
        </w:rPr>
        <w:t>иально-экономическое развитие сельской агломерации, в том числе на ускоренное инфраструктурное развитие опорного населенного пункта, выражающееся в формировании на территории сельской агломерации совокупности объектов инфраструктуры, необходимой и достаточ</w:t>
      </w:r>
      <w:r>
        <w:rPr>
          <w:rFonts w:ascii="Times New Roman" w:hAnsi="Times New Roman"/>
          <w:b w:val="0"/>
          <w:sz w:val="28"/>
          <w:szCs w:val="28"/>
        </w:rPr>
        <w:t xml:space="preserve">ной для обеспечения доступности для жителей сельской агломерации набора социально-значимых услуг.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Формирование комплекса мероприятий долгосрочного плана развития осуществляется отдельно для опорного населенного пункта и отдельно для прилегающих населенны</w:t>
      </w:r>
      <w:r>
        <w:rPr>
          <w:rFonts w:ascii="Times New Roman" w:hAnsi="Times New Roman"/>
          <w:b w:val="0"/>
          <w:sz w:val="28"/>
          <w:szCs w:val="28"/>
        </w:rPr>
        <w:t>х пунктов, в том числе отдельно в отношении объектов инфраструктуры, функционирование которых направлено на реализацию полномочий органов местного самоуправления и полномочий исполнительных органов субъекта Российской Федерации.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 При формировании компле</w:t>
      </w:r>
      <w:r>
        <w:rPr>
          <w:rFonts w:ascii="Times New Roman" w:hAnsi="Times New Roman"/>
          <w:b w:val="0"/>
          <w:sz w:val="28"/>
          <w:szCs w:val="28"/>
        </w:rPr>
        <w:t>кса мероприятий долгосрочного плана развития необходимо руководствоваться следующими обязательными требованиями: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 комплекс мероприятий долгосрочного плана развития должен включать в себя исчерпывающий перечень мероприятий долгосрочного плана развития, ре</w:t>
      </w:r>
      <w:r>
        <w:rPr>
          <w:rFonts w:ascii="Times New Roman" w:hAnsi="Times New Roman"/>
          <w:b w:val="0"/>
          <w:sz w:val="28"/>
          <w:szCs w:val="28"/>
        </w:rPr>
        <w:t xml:space="preserve">ализация которых позволила бы обеспечить требуемый, исходя из прогнозируемой потребности, уровень доступности для жителей сельской агломерации набора социально-значимых услуг.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в состав мероприятий долгосрочного плана развития могут быть включены меропр</w:t>
      </w:r>
      <w:r>
        <w:rPr>
          <w:rFonts w:ascii="Times New Roman" w:hAnsi="Times New Roman"/>
          <w:b w:val="0"/>
          <w:sz w:val="28"/>
          <w:szCs w:val="28"/>
        </w:rPr>
        <w:t>иятия, источниками финансового обеспечения реализации которых могут быть средства федерального бюджета и (или) средства регионального бюджета, и (или) средства местного бюджета, и (или) средства из внебюджетных источников. При этом исключительно за счет ср</w:t>
      </w:r>
      <w:r>
        <w:rPr>
          <w:rFonts w:ascii="Times New Roman" w:hAnsi="Times New Roman"/>
          <w:b w:val="0"/>
          <w:sz w:val="28"/>
          <w:szCs w:val="28"/>
        </w:rPr>
        <w:t>едств из внебюджетных источников в состав мероприятий долгосрочного плана развития могут быть включены только мероприятия, направленные: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 на реализацию мероприятий, предусмотренных правилами предоставления и распределения субсидий из федерального бюджета</w:t>
      </w:r>
      <w:r>
        <w:rPr>
          <w:rFonts w:ascii="Times New Roman" w:hAnsi="Times New Roman"/>
          <w:b w:val="0"/>
          <w:sz w:val="28"/>
          <w:szCs w:val="28"/>
        </w:rPr>
        <w:t xml:space="preserve"> бюджетам субъектов Российской Федерации, утвержденными в составе государственных программ Российской Федерации, перечисленных в пункте 28 Правил;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 на реализацию мероприятий,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Федерации, в целях реализации государственных программ Российской Федерации, перечисл</w:t>
      </w:r>
      <w:r>
        <w:rPr>
          <w:rFonts w:ascii="Times New Roman" w:hAnsi="Times New Roman"/>
          <w:b w:val="0"/>
          <w:sz w:val="28"/>
          <w:szCs w:val="28"/>
        </w:rPr>
        <w:t>енных в пункте 28 Правил;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в) на реализацию мероприятий по созданию и (или) обновлению инфраструктуры водоснабжения, водоотведения, теплоснабжения, газоснабжения, уличного освещения, телекоммуникации, первичного сбора бытовых отходов и мусора, а также дорож</w:t>
      </w:r>
      <w:r>
        <w:rPr>
          <w:rFonts w:ascii="Times New Roman" w:hAnsi="Times New Roman"/>
          <w:b w:val="0"/>
          <w:sz w:val="28"/>
          <w:szCs w:val="28"/>
        </w:rPr>
        <w:t>ной инфраструктуры и инфраструктуры общественного транспорта при условии, что выгодополучателями услуг, предоставляемых с использованием указанной инфраструктуры, является неограниченный круг пользователей (население, организации), проживающих / функционир</w:t>
      </w:r>
      <w:r>
        <w:rPr>
          <w:rFonts w:ascii="Times New Roman" w:hAnsi="Times New Roman"/>
          <w:b w:val="0"/>
          <w:sz w:val="28"/>
          <w:szCs w:val="28"/>
        </w:rPr>
        <w:t xml:space="preserve">ующих на территории сельской агломерации.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 планирование мероприятий долгосрочного плана развития, направленных на обеспечение транспортной связности опорного населенного пункта и прилегающих населенных пунктов, входящих в состав сельской агломерации, по</w:t>
      </w:r>
      <w:r>
        <w:rPr>
          <w:rFonts w:ascii="Times New Roman" w:hAnsi="Times New Roman"/>
          <w:b w:val="0"/>
          <w:sz w:val="28"/>
          <w:szCs w:val="28"/>
        </w:rPr>
        <w:t>средством строительства, реконструкции, капитального ремонта отдельных участков автомобильных дорог общего пользования, следует осуществлять с учетом соблюдения следующей приоритетной последовательности: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а) строительство, реконструкция, капитальный ремонт </w:t>
      </w:r>
      <w:r>
        <w:rPr>
          <w:rFonts w:ascii="Times New Roman" w:hAnsi="Times New Roman"/>
          <w:b w:val="0"/>
          <w:sz w:val="28"/>
          <w:szCs w:val="28"/>
        </w:rPr>
        <w:t>участков автомобильных дорог общего пользования, ведущих от опорного населенного пункта к прилегающим населенным пунктам, в которых отсутствуют условия для предоставления жителям этих прилегающих населенных пунктов всего набора или отдельных социально-знач</w:t>
      </w:r>
      <w:r>
        <w:rPr>
          <w:rFonts w:ascii="Times New Roman" w:hAnsi="Times New Roman"/>
          <w:b w:val="0"/>
          <w:sz w:val="28"/>
          <w:szCs w:val="28"/>
        </w:rPr>
        <w:t>имых услуг (при наличии соответствующей потребности в таких услугах);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б) строительство, реконструкция, капитальный ремонт участков автомобильных дорог общего пользования, ведущих от опорного населенного пункта к прилегающим населенным пунктам, численность </w:t>
      </w:r>
      <w:r>
        <w:rPr>
          <w:rFonts w:ascii="Times New Roman" w:hAnsi="Times New Roman"/>
          <w:b w:val="0"/>
          <w:sz w:val="28"/>
          <w:szCs w:val="28"/>
        </w:rPr>
        <w:t>жителей в которых имеет положительную прогнозную динамику;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в) строительство, реконструкция, капитальный ремонт участков автомобильных дорог общего пользования, ведущих от одного прилегающего населенного пункта к другому прилегающему населенному пункту, в ц</w:t>
      </w:r>
      <w:r>
        <w:rPr>
          <w:rFonts w:ascii="Times New Roman" w:hAnsi="Times New Roman"/>
          <w:b w:val="0"/>
          <w:sz w:val="28"/>
          <w:szCs w:val="28"/>
        </w:rPr>
        <w:t>елях обеспечения для жителей прилегающих населенных пунктов, в которых отсутствуют условия для предоставления жителям этих населенных пунктов тех или иных социально-значимых услуг (при наличии соответствующей потребности в таких услугах).</w:t>
      </w:r>
    </w:p>
    <w:p w:rsidR="005F4134" w:rsidRDefault="00D30BE7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 общего числ</w:t>
      </w:r>
      <w:r>
        <w:rPr>
          <w:sz w:val="28"/>
          <w:szCs w:val="28"/>
        </w:rPr>
        <w:t xml:space="preserve">а мероприятий долгосрочного плана развития, претендующих на получение субсидий из федерального бюджета, реализация хотя бы одного мероприятия долгосрочного плана развития должна начинаться в первый год реализации долгосрочного плана развития. При этом на </w:t>
      </w:r>
      <w:r>
        <w:rPr>
          <w:sz w:val="28"/>
          <w:szCs w:val="28"/>
          <w:shd w:val="clear" w:color="auto" w:fill="FFFFFF" w:themeFill="background1"/>
        </w:rPr>
        <w:t>п</w:t>
      </w:r>
      <w:r>
        <w:rPr>
          <w:sz w:val="28"/>
          <w:szCs w:val="28"/>
          <w:shd w:val="clear" w:color="auto" w:fill="FFFFFF" w:themeFill="background1"/>
        </w:rPr>
        <w:t>ервые три года срока реализации таких мероприятий должно приходится не более 50 процентов общего объема расходов, требуемого на реализацию мероприятий за</w:t>
      </w:r>
      <w:r>
        <w:rPr>
          <w:sz w:val="28"/>
          <w:szCs w:val="28"/>
        </w:rPr>
        <w:t xml:space="preserve"> счет средств субсидий из федерального бюджета.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 мероприятия долгосрочного плана развития, претендую</w:t>
      </w:r>
      <w:r>
        <w:rPr>
          <w:rFonts w:ascii="Times New Roman" w:hAnsi="Times New Roman"/>
          <w:b w:val="0"/>
          <w:sz w:val="28"/>
          <w:szCs w:val="28"/>
        </w:rPr>
        <w:t>щие на предоставление субсидий из федерального бюджета, должны быть подкреплены обоснованиями их реализации, в том числе перечнем вспомогательных мероприятий, реализация которых обеспечивает реализацию соответствующих мероприятий долгосрочного плана развит</w:t>
      </w:r>
      <w:r>
        <w:rPr>
          <w:rFonts w:ascii="Times New Roman" w:hAnsi="Times New Roman"/>
          <w:b w:val="0"/>
          <w:sz w:val="28"/>
          <w:szCs w:val="28"/>
        </w:rPr>
        <w:t xml:space="preserve">ия и (или) последующее функционирование соответствующих объектов инфраструктуры.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при планировании мероприятий долгосрочного плана развития, претендующих на предоставление субсидии из федерального бюджета, в качестве источников финансового обеспечения р</w:t>
      </w:r>
      <w:r>
        <w:rPr>
          <w:rFonts w:ascii="Times New Roman" w:hAnsi="Times New Roman"/>
          <w:b w:val="0"/>
          <w:sz w:val="28"/>
          <w:szCs w:val="28"/>
        </w:rPr>
        <w:t>еализации таких мероприятий должны указываться государственные программы Российской Федерации соответствующей отраслевой направленности, для реализации которых утверждаются правила предоставления и распределения субсидий и (или) иных межбюджетных трансферт</w:t>
      </w:r>
      <w:r>
        <w:rPr>
          <w:rFonts w:ascii="Times New Roman" w:hAnsi="Times New Roman"/>
          <w:b w:val="0"/>
          <w:sz w:val="28"/>
          <w:szCs w:val="28"/>
        </w:rPr>
        <w:t>ов из федерального бюджета бюджетам субъектов Российской Федерации на реализацию аналогичных мероприятий. Указание государственной программы Российской Федерации «Комплексное развитие сельских территорий», утвержденной постановлением Правительства Российск</w:t>
      </w:r>
      <w:r>
        <w:rPr>
          <w:rFonts w:ascii="Times New Roman" w:hAnsi="Times New Roman"/>
          <w:b w:val="0"/>
          <w:sz w:val="28"/>
          <w:szCs w:val="28"/>
        </w:rPr>
        <w:t xml:space="preserve">ой Федерации от 31 мая 2019 г. № 696 (Собрание законодательства Российской Федерации, …, № …, ст. …), в качестве источника финансового обеспечения реализации мероприятий долгосрочного плана развития допускается только при отсутствии в иных государственных </w:t>
      </w:r>
      <w:r>
        <w:rPr>
          <w:rFonts w:ascii="Times New Roman" w:hAnsi="Times New Roman"/>
          <w:b w:val="0"/>
          <w:sz w:val="28"/>
          <w:szCs w:val="28"/>
        </w:rPr>
        <w:t>программах Российской Федерации аналогичных мероприятий, на реализацию которых предусмотрено предоставление субсидий из федерального бюджета.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7) при планировании объемов финансирования, необходимых на реализацию мероприятий долгосрочного плана развития, об</w:t>
      </w:r>
      <w:r>
        <w:rPr>
          <w:rFonts w:ascii="Times New Roman" w:hAnsi="Times New Roman"/>
          <w:b w:val="0"/>
          <w:sz w:val="28"/>
          <w:szCs w:val="28"/>
        </w:rPr>
        <w:t>щая стоимость реализации отдельного мероприятия определяется в ценах того периода, в течение которого запланирована реализации соответствующего мероприятия.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Планирование комплекса мероприятий долгосрочного плана развития осуществляется по форме, приведенно</w:t>
      </w:r>
      <w:r>
        <w:rPr>
          <w:rFonts w:ascii="Times New Roman" w:hAnsi="Times New Roman"/>
          <w:b w:val="0"/>
          <w:sz w:val="28"/>
          <w:szCs w:val="28"/>
        </w:rPr>
        <w:t xml:space="preserve">й </w:t>
      </w:r>
      <w:r>
        <w:rPr>
          <w:rFonts w:ascii="Times New Roman" w:hAnsi="Times New Roman"/>
          <w:b w:val="0"/>
          <w:sz w:val="28"/>
          <w:szCs w:val="28"/>
          <w:shd w:val="clear" w:color="auto" w:fill="FFFFFF" w:themeFill="background1"/>
        </w:rPr>
        <w:t>в приложении № 7 к настоящим</w:t>
      </w:r>
      <w:r>
        <w:rPr>
          <w:rFonts w:ascii="Times New Roman" w:hAnsi="Times New Roman"/>
          <w:b w:val="0"/>
          <w:sz w:val="28"/>
          <w:szCs w:val="28"/>
        </w:rPr>
        <w:t xml:space="preserve"> Методическим указаниям.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14.</w:t>
      </w:r>
      <w:r>
        <w:rPr>
          <w:rFonts w:ascii="Times New Roman" w:hAnsi="Times New Roman"/>
          <w:b w:val="0"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Долгосрочный план развития, как документ, подлежащий утверждению, должен содержать: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 паспорт долгосрочного плана развития;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целевые индикаторы реализации долгосрочного плана развития;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 к</w:t>
      </w:r>
      <w:r>
        <w:rPr>
          <w:rFonts w:ascii="Times New Roman" w:hAnsi="Times New Roman"/>
          <w:b w:val="0"/>
          <w:sz w:val="28"/>
          <w:szCs w:val="28"/>
        </w:rPr>
        <w:t>омплекс мероприятий долгосрочного плана развития во взаимосвязи с объемами финансирования, требуемыми на их реализацию, и результатами.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</w:pPr>
      <w:r>
        <w:rPr>
          <w:rFonts w:ascii="Times New Roman" w:hAnsi="Times New Roman"/>
          <w:b w:val="0"/>
          <w:sz w:val="28"/>
          <w:szCs w:val="28"/>
        </w:rPr>
        <w:t>Форма представления паспорта долгосрочного плана развития приведена в приложении № 8 к настоящим Методическим указаниям.</w:t>
      </w:r>
      <w:r>
        <w:t xml:space="preserve">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Форма представления целевых индикаторов реализации долгосрочного плана развития приведена в приложении № 9 к настоящим Методическим указаниям.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Форма представления комплекса мероприятий долгосрочного плана развития приведена в приложении № 10 к настоящим </w:t>
      </w:r>
      <w:r>
        <w:rPr>
          <w:rFonts w:ascii="Times New Roman" w:hAnsi="Times New Roman"/>
          <w:b w:val="0"/>
          <w:sz w:val="28"/>
          <w:szCs w:val="28"/>
        </w:rPr>
        <w:t>Методическим указаниям.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 К проекту долгосрочного плана развития разрабатываются документы, обосновывающие целесообразность реализации долгосрочного плана развития, состоящие из: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 аналитического обоснования долгосрочного плана развития, являющегося тек</w:t>
      </w:r>
      <w:r>
        <w:rPr>
          <w:rFonts w:ascii="Times New Roman" w:hAnsi="Times New Roman"/>
          <w:b w:val="0"/>
          <w:sz w:val="28"/>
          <w:szCs w:val="28"/>
        </w:rPr>
        <w:t>стовым документом и содержащим обобщенную аналитическую информацию о текущем и прогнозируемом уровне демографического, инфраструктурного, экономического развития соответствующей сельской агломерации, перечень факторов, определяющих основные условия для фор</w:t>
      </w:r>
      <w:r>
        <w:rPr>
          <w:rFonts w:ascii="Times New Roman" w:hAnsi="Times New Roman"/>
          <w:b w:val="0"/>
          <w:sz w:val="28"/>
          <w:szCs w:val="28"/>
        </w:rPr>
        <w:t>мирования комплекса мероприятий долгосрочного плана социально-экономического развития опорного населенного пункта и прилегающих территорий, и перечень задач по инфраструктурному развитию сельской агломерации на период реализации долгосрочного плана социаль</w:t>
      </w:r>
      <w:r>
        <w:rPr>
          <w:rFonts w:ascii="Times New Roman" w:hAnsi="Times New Roman"/>
          <w:b w:val="0"/>
          <w:sz w:val="28"/>
          <w:szCs w:val="28"/>
        </w:rPr>
        <w:t>но-экономического развития опорного населенного пункта и прилегающих территорий;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2) паспорта сельской агломерации, являющегося совокупностью табличных форм, содержащих основные данные о территории, населении, инфраструктуре и экономическом состоянии сельс</w:t>
      </w:r>
      <w:r>
        <w:rPr>
          <w:rFonts w:ascii="Times New Roman" w:hAnsi="Times New Roman"/>
          <w:b w:val="0"/>
          <w:sz w:val="28"/>
          <w:szCs w:val="28"/>
        </w:rPr>
        <w:t>кой агломерации.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Шаблон аналитического обоснования долгосрочного плана развития приведен в приложении № 11 к настоящим Методическим указаниям.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Формирование и представление паспорта сельской агломерации осуществляется в электронном виде по форме, направляем</w:t>
      </w:r>
      <w:r>
        <w:rPr>
          <w:rFonts w:ascii="Times New Roman" w:hAnsi="Times New Roman"/>
          <w:b w:val="0"/>
          <w:sz w:val="28"/>
          <w:szCs w:val="28"/>
        </w:rPr>
        <w:t xml:space="preserve">ой Министерством сельского хозяйства Российской Федерации. </w:t>
      </w:r>
    </w:p>
    <w:p w:rsidR="005F4134" w:rsidRDefault="00D30BE7">
      <w:pPr>
        <w:pStyle w:val="ConsPlusTitle"/>
        <w:shd w:val="clear" w:color="auto" w:fill="FFFFFF" w:themeFill="background1"/>
        <w:spacing w:line="360" w:lineRule="exact"/>
        <w:ind w:firstLine="709"/>
        <w:jc w:val="both"/>
        <w:outlineLvl w:val="2"/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sectPr w:rsidR="005F4134">
      <w:headerReference w:type="default" r:id="rId8"/>
      <w:pgSz w:w="11906" w:h="16838"/>
      <w:pgMar w:top="709" w:right="851" w:bottom="851" w:left="1418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E7" w:rsidRDefault="00D30BE7">
      <w:pPr>
        <w:spacing w:after="0" w:line="240" w:lineRule="auto"/>
      </w:pPr>
      <w:r>
        <w:separator/>
      </w:r>
    </w:p>
  </w:endnote>
  <w:endnote w:type="continuationSeparator" w:id="0">
    <w:p w:rsidR="00D30BE7" w:rsidRDefault="00D3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E7" w:rsidRDefault="00D30BE7">
      <w:pPr>
        <w:spacing w:after="0" w:line="240" w:lineRule="auto"/>
      </w:pPr>
      <w:r>
        <w:separator/>
      </w:r>
    </w:p>
  </w:footnote>
  <w:footnote w:type="continuationSeparator" w:id="0">
    <w:p w:rsidR="00D30BE7" w:rsidRDefault="00D3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764977"/>
      <w:docPartObj>
        <w:docPartGallery w:val="Page Numbers (Top of Page)"/>
        <w:docPartUnique/>
      </w:docPartObj>
    </w:sdtPr>
    <w:sdtEndPr/>
    <w:sdtContent>
      <w:p w:rsidR="005F4134" w:rsidRDefault="00D30BE7">
        <w:pPr>
          <w:pStyle w:val="af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34"/>
    <w:rsid w:val="005F4134"/>
    <w:rsid w:val="00762F3A"/>
    <w:rsid w:val="00D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6580FC-D9AF-4434-921F-36CC156A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Arial" w:eastAsia="Times New Roman" w:hAnsi="Arial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rPr>
      <w:rFonts w:ascii="Arial" w:eastAsia="Times New Roman" w:hAnsi="Arial" w:cs="Times New Roman"/>
      <w:b/>
      <w:sz w:val="24"/>
      <w:lang w:eastAsia="ru-RU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eastAsiaTheme="minorEastAsia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eastAsiaTheme="minorEastAsia"/>
      <w:lang w:eastAsia="ru-RU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ff0">
    <w:name w:val="Тема примечания Знак"/>
    <w:basedOn w:val="af7"/>
    <w:link w:val="aff"/>
    <w:uiPriority w:val="99"/>
    <w:semiHidden/>
    <w:rPr>
      <w:rFonts w:ascii="Calibri" w:eastAsiaTheme="minorEastAsia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Кондыкова Юлия Александровна</dc:creator>
  <cp:keywords/>
  <dc:description/>
  <cp:lastModifiedBy>Евграфова Е.В.</cp:lastModifiedBy>
  <cp:revision>2</cp:revision>
  <dcterms:created xsi:type="dcterms:W3CDTF">2023-12-11T09:45:00Z</dcterms:created>
  <dcterms:modified xsi:type="dcterms:W3CDTF">2023-12-11T09:45:00Z</dcterms:modified>
</cp:coreProperties>
</file>