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jc w:val="both"/>
      </w:pPr>
      <w:r>
        <w:rPr>
          <w:sz w:val="24"/>
        </w:rPr>
        <w:t xml:space="preserve">5.2.5 в случае осуществления охоты на иных территориях (в том числе особо охраняемых природных территориях), являющихся средой обитания охотничьих животных - разрешение на добычу охотничьих ресурсов, выданное в соответствии с Порядком уполномоченными в соответствии с законодательством Российской Федерации органами государственной власти или федеральными государственными бюджетными учреждениями, государственными учреждениями субъектов Российской Федерации, осуществляющими управление соответствующими особо охраняемыми природными территориями</w:t>
      </w:r>
    </w:p>
    <w:p>
      <w:pPr>
        <w:pStyle w:val="0"/>
      </w:pPr>
      <w:r>
        <w:rPr>
          <w:sz w:val="24"/>
          <w:i w:val="on"/>
        </w:rPr>
        <w:br/>
        <w:t xml:space="preserve">Приказ Минприроды России от 24.07.2020 N 477 (ред. от 28.03.2024) "Об утверждении Правил охоты" {КонсультантПлюс}</w:t>
      </w:r>
      <w:r>
        <w:rPr>
          <w:sz w:val="24"/>
        </w:rPr>
        <w:br/>
      </w:r>
    </w:p>
    <w:sectPr>
      <w:pgSz w:w="11906" w:h="16838"/>
      <w:pgMar w:top="1440" w:right="566" w:bottom="1440" w:left="1133" w:header="0" w:footer="0" w:gutter="0"/>
      <w:titlePg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Минприроды России от 24.07.2020 N 477
(ред. от 28.03.2024)
"Об утверждении Правил охоты"
(Зарегистрировано в Минюсте России 31.08.2020 N 59585)
(с изм. и доп., вступ. в силу с 01.01.2025)</dc:title>
  <dcterms:created xsi:type="dcterms:W3CDTF">2025-08-26T08:28:48Z</dcterms:created>
</cp:coreProperties>
</file>