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0"/>
        </w:rPr>
        <w:t xml:space="preserve">МИНИСТЕРСТВО ПРИРОДНЫХ РЕСУРСОВ, ЭКОЛОГИИ И РЫБНОГО ХОЗЯЙСТВА МУРМАНСКОЙ ОБЛАСТИ</w:t>
      </w:r>
      <w:r/>
    </w:p>
    <w:p>
      <w:pPr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</w:r>
      <w:r/>
    </w:p>
    <w:p>
      <w:pPr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</w:r>
      <w:r/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Cs/>
          <w:sz w:val="40"/>
          <w:szCs w:val="40"/>
        </w:rPr>
        <w:t xml:space="preserve">ДЕЙСТВУЮЩИЕ ООПТ</w:t>
      </w:r>
      <w:r/>
    </w:p>
    <w:p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bCs/>
          <w:sz w:val="40"/>
          <w:szCs w:val="40"/>
          <w:u w:val="single"/>
        </w:rPr>
        <w:t xml:space="preserve">003</w:t>
      </w:r>
      <w:r/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/>
    </w:p>
    <w:p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/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НАЗВАНИЕ: </w:t>
      </w:r>
      <w:r>
        <w:rPr>
          <w:rFonts w:ascii="Times New Roman" w:hAnsi="Times New Roman" w:cs="Times New Roman"/>
          <w:sz w:val="40"/>
          <w:szCs w:val="40"/>
        </w:rPr>
        <w:t xml:space="preserve">ТЕРИБЕРКА</w:t>
      </w:r>
      <w:r/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/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r>
        <w:rPr>
          <w:rFonts w:ascii="Times New Roman" w:hAnsi="Times New Roman" w:cs="Times New Roman"/>
          <w:sz w:val="40"/>
          <w:szCs w:val="40"/>
        </w:rPr>
        <w:t xml:space="preserve">ПРИРОДНЫЙ ПАРК</w:t>
      </w:r>
      <w:r/>
    </w:p>
    <w:p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/>
    </w:p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ЗНАЧЕНИЕ: </w:t>
      </w:r>
      <w:r>
        <w:rPr>
          <w:rFonts w:ascii="Times New Roman" w:hAnsi="Times New Roman" w:cs="Times New Roman"/>
          <w:sz w:val="40"/>
          <w:szCs w:val="40"/>
        </w:rPr>
        <w:t xml:space="preserve">РЕГИОНАЛЬНОЕ</w:t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tbl>
      <w:tblPr>
        <w:tblStyle w:val="833"/>
        <w:tblpPr w:horzAnchor="text" w:tblpXSpec="left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7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22" w:firstLine="0"/>
              <w:tabs>
                <w:tab w:val="left" w:pos="447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Териберка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22" w:firstLine="0"/>
              <w:tabs>
                <w:tab w:val="left" w:pos="447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парк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22" w:firstLine="0"/>
              <w:tabs>
                <w:tab w:val="left" w:pos="447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22" w:hanging="22"/>
              <w:tabs>
                <w:tab w:val="left" w:pos="42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Порядковый номер кадастрового дела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003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22" w:hanging="22"/>
              <w:tabs>
                <w:tab w:val="left" w:pos="42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определен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22" w:hanging="22"/>
              <w:tabs>
                <w:tab w:val="left" w:pos="447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22" w:hanging="22"/>
              <w:tabs>
                <w:tab w:val="left" w:pos="34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создания, реорганизации, ликвидации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13.09.2021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447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создания ООПТ и ее ценность, причины реорганизации (в отношении реорганизованных ООПТ)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создания природного парка «Териберка»: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сохранение и восстановление ценных, уникальных природных и исторических объектов и комплексов, а также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формирования условий для поддержания экологического баланса территории, для развития природно-познавательного туризма и экологического просвещения.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природного парка «Териберка»: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сохранение природных комплексов и объектов, уникальных и эталонных природных участков, историко-культурных объектов, имеющих экологическое, историческое и рекреационное значение, в сочетании с их изучением; – проведение научно-исследовательских работ,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правленных на мониторинг охраняемых объектов, разработку мер по их охране и восстановлению;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восстановление нарушенных территорий; – сохранение и восстановление исторически сложившихся культурных ландшафтов;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природно-познавательного туризма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просвещения при сохранении природных объектов, комплексов и ландшафтов;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сохранение и возрождение традиций народного творчества, ремесел и промыслов;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содействие развитию деловой активности в районе расположения природного парка и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долгосрочной экономической эффективности использования территории парка.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основа функционирования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постановление Правительства Мурманской области от 13.09.2021 № 643-ПП «О создании природного парка «Терибе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рка».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положение об ООПТ: Положение о природном парке «Териберка», утверждённое   постановлением Правительства Мурманской области от 13.09.2021                             № 643-ПП «О создании природного парка «Териберка».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ООПТ: 2418,5 га. Категория земель: территория природного парка расположена на двух категориях земель: земельные участки с кадастровыми номерами 51:07:0030101:16, 51:07:0030101:133, 51:07:0030101:135, 51:07:0030101:137 относятся к категории земель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ромышленности, энергетики, транспорта, связи, радиовещания, телевидения, информатики, земель для обеспечения космической деятельности,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обороны, безопасности и земель иного специального назначения; земельные участки с кадастровыми номерами 51:07:0030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101:343 (частично), 51:07:0030101:88 (частично) относятся к категории земель запаса. Кроме того, в территорию природного парка входит часть кадастрового квартала 51:07:0030104, на которой на момент создания природного парка не сформированы кадастровые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тки.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Ведомственная подчиненность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статус ООПТ (в случае его наличия)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ООПТ согласно классификации Международного союза охраны природы (МС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IUCN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отдельно расположенных, не граничащих друг с другом участков территории/ акватории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Месторасположение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28"/>
        </w:trPr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Географическое положение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парк расположен в окрестностях сельского поселения Териберка в Кольском районе Мурманской области, в 80 км к северо-востоку от г. Мурманска. 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ООПТ (га)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ООПТ 2418,5 га.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площадь морской акватории (га), входящей в состав ООПТ – 0;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в границы ООПТ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изъятия из хозяйственного использования (если имеются)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га - 3,9 %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природного парка «Териберка» входит 3 отдельных кластера: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1 – 1 274,0 га,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2 – 1 115,4 га,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3 – 29,1 га. 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охранной зоны ОООПТ (га)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Границы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приложением № 1, положения о природном парке «Териберка», утвержденного постановление Правительства Мурманской области от 13.09.2021 № 643-ПП «О создании природного парка «Териберка»: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парк состоит из трех участков (кластеров):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1: от значимой точки 1-01 (характерная точка 1) с координатами 69,205228 градуса северной широты и 35,000180 градуса восточной долготы, расположенной на береговой линии восточного берега губы Долгая Баренцева моря, с общим направлением на восток по 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еговой линии Баренцева моря (с исключением земельного участка на западном берегу губы Териберской с разрешенным использованием: наблюдение за гидрометеорологическими процессами и мониторингом загрязнения окружающей среды) до значимой точки 1-02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(характерна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точка 616) с координатами 69,196033 градуса северной широты и 35,131209 градуса восточной долготы, расположенной на береговой линии западного берега губы Териберской примерно в 650 м южнее мыса Жилой; далее граница кластера проходит на запад до значимой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точки 1-03 (характерная точка 619) с координатами 69,195976 градуса северной широты и 35,123135 градуса восточной долготы, расположенной на расстоянии 50 м восточнее грунтовой дороги от пос. Лодейное к Батарейному водопаду; далее граница кластера проходит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1,3 км с общим направлением на северозапад по условной линии на удалении 50 м от грунтовой дороги от пос. Лодейное к Батарейному водопаду до значимой точки 1-04 (характерная точка 659) с координатами 69,201681 градуса северной широты и 35,100603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радуса восточной долготы; далее граница кластера проходит по прямой 95 м на запад до береговой линии восточного берега озера Секретарское и проходит с общим направлением на юг по данной береговой линии до значимой точки 1-05 (характерная точка 668) с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инатами 69,200239 градуса северной широты и 35,097501 градуса восточной долготы; далее граница кластера проходит по прямой 150 м на восток до значимой точки 1-06 (характерная точка 669)с координатами 69,200183 градуса северной широты и 35,101299 градуса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сточной долготы, расположенной на расстоянии 50 м юго-западнее грунтовой дороги от пос. Лодейное к Батарейному водопаду; далее граница кластера проходит примерно 1,1 км с общим направлением на юго-восток по условной линии на удалении 50 м от грунтовой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 от пос. Лодейное к Батарейному водопаду до значимой точки 1-07 (характерная точка 705) с координатами 69,196010 градуса северной широты и 35,120544 градуса восточной долготы; далее граница кластера проходит с общим направлением на западо-юго-запад по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верной и восточной границе земельного участка 51:07:0030104:4 до значимой точки 1-08 (характерная точка 716) с координатами 69,192498 градуса северной широты и 35,095520 градуса восточной долготы, являющейся крайней юго-западной точкой земельного участка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1:07:0030104:4; далее граница кластера проходит по прямой около 1.25 км на юго-восток до самой северной точки береговой 4 линии безымянного почти круглого озера, проходит с общим направлением на юго-восток по береговой линии северо-западного берега 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озера до самой восточной точки береговой линии данного озера и проходит по прямой 250 м на юго-юго-восток до значимой точки 1-09 (характерная точка 723) с координатами 69,179031 градуса северной широты и 35,109057 градуса восточной долготы, являющейся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восточной точкой береговой линии другого безымянного озера; далее граница кластера проходит по прямой 880 м на юго-юго-восток до расположенного на восточной оконечности следующего безымянного озера места истока безымянного ручья, впадающего в реку Териб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ерка, проходит по прямой 1 020 м на юго-юго-запад до самой северной точки береговой линии безымянного озера, расположенного в 300 м западнее автодороги Мурманск-Териберка, и проходит с общим направлением на югозапад по береговой линии восточного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берега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безымянного озера до значимой точки 1-10 (характерная точка 741) с координатами 69,160639 градуса северной широты и 35,099557 градуса восточной долготы; далее граница кластера проходит по прямой 1 550 м на юго-запад до расположенного на южной оконечно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вытянутого в меридиональном направлении безымянного озера места истока безымянного ручья, проходит с общим направлением на север по береговой линии западного берега данного безымянного озера до расположенного на северной оконечности данного безымянного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озера места впадения безымянного ручья, проходит по прямой 910 м в северном направлении самой южной точки береговой линии следующего вытянутого в меридиональном направлении безымянного озера, проходит с общим направлением на север по береговой линии запад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берега данного озера до расположенного на северной оконечности данного озера места истока другого безымянного ручья и проходит по прямой 500 м на север до значимой точки 1- 11 (характерная точка 761) с координатами 69,170106 градуса северной широты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35,071924 градуса восточной долготы, являющейся местом впадения последнего указанного безымянного ручья в последующее вытянутое в меридиональном направлении безымянное озеро; далее около 900 м по прямой на восток- северо-восток до самой северной оконечност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безымянного озера (значимая точки 1-12 (характерная точка 762)) с координатами 69,172178 градуса северной широты и 35,093742 градуса восточной долготы); далее 400 м по прямой на северо-восток до самой восточной оконечности безымянного озерка (значимая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чки 1-13 (характерная точка 763)) с координатами 69,173813 градуса северной широты и 35,102702 градуса восточной долготы); далее 470 м по прямой на северо-запад до северной оконечности маленького озерка (значимая точки 1-14 (характерная точка 764)) с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инатами 69,177601 градуса северной широты и 35,097631 градуса восточной долготы); далее 670 м по прямой на запад-северо-запад до самой северной оконечности безымянного озера в месте истока из него протоки, соединяющей это озеро с озером к северу (значимая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точки 1-15 (характерная точка 765)) с координатами 69,178254 градуса северной широты и 35,08292 градуса восточной долготы); далее с общим направлением на юг по восточному озеру этого безымянного озера до места впадения в него протоки, соединяющей 5 его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езымянным озером, вытянутым с севера на юг; далее по этой протоке до самой северной оконечности безымянного озера, вытянутого с севера на юг (значимая точки 1-16 (характерная точка 788)) с координатами 69,177506 градуса северной широты и 35,083916 градуса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восточной долготы); далее около 1.4 км по прямой на северо-запад до южной оконечности безымянного озера в месте места истока из ручья, текущего в озеро Секретарское; далее с общим направлением на северо-запад по западным берегам этого безымянного озера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самой северной оконечности; далее 200 м по прямой на западо-северо-запад по понижению между двумя возвышенностями до восточного берега довольно крупного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безымянного озера, вытянутого с юго-юго-запада на северо-северо-восток; далее с общим направлением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север по восточным берегам этого озера до места истока из него ручья, соединяющего это озеро с небольшим озерком к северо-востоку (Малое Батарейное озеро), далее за протокой по западным берегам того же довольно крупного безымянного озера с общим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ением на юг до значимой точки 1-17 (характерная точка 847) с координатами 69,198704 градуса северной широты и 35,041811 градуса восточной долготы; далее 400 м по прямой на запад по южной оконечности безымянного маленького озерка; оттуда 250 м по прямой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юго-запад до самой северной оконечности другого маленького безымянного озерка; далее около 100 м по берегу этого озерка с общим направлением на юго-запад до места впадения в него ручья; далее 350 м по прямой на северо-запад практически вдоль русла этого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чья до места его истока из маленького почти круглого безымянного озерка; далее по южным берегам этого озерка с общим направлением на северо-запад до самой западной оконечности этого маленького почти круглого безымянного озерка (значимая точки 1-18 (характе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рная точка 859)) с координатами 69,199781 градуса северной широты и 35,015238 градуса восточной долготы); далее 800 м по прямой на северо-запад до значимой точки 1-01, с которой было начато описание границы кластера.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2: от значимой точки 2-01 (характерная точка 860), расположенной на высоте 161.4 восточнее дороги Мурманск-Териберка, граница кластера 2 проходит с общим направление на северо-восток по условной ломанной линии, соединяющей самые западные точки 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говых линий безымянных озер до значимой точки 2-02 (характерная точка 864) с координатами 69,157407 градуса северной широты и 35,122665 градуса восточной долготы, расположенной на самой южной точке маленького безымянного озера; далее граница кластера прохо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 по прямой 1 160 м на востоко-юго-восток до значимой точки 2-03 (характерная точка 865)с координатами 69,155761 градуса северной широты и 35,151499 градуса восточной долготы, расположенной на береговой линии правого (восточного) берега реки Териберка;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алее 200 м по прямой на восток до западной оконечности маленького безымянного озерка; далее 450 м на север до восточной оконечности маленького безымянного озерка и по западным его берегам с общим направлением на север до самой северной его оконечности (зна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чимая точки 2-04 (характерная точка 869))с координатами 6 69,160746 градуса северной широты и 35,160013 градуса восточной долготы); далее 300 м по прямой на восток-юго-восток до северной оконечности безымянного озера; далее около 1,1 км по прямой на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-юго-восток до высоты 190,6 м, оттуда 700 м по прямой на юг до северной оконечности оз. Четвертого Титовского; далее по береговой линии западного берега этого озера с общим направлением на юго-запад до значимой точки 2-05 (характерная точка 884) с 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69,145778 градуса северной широты и 35,183923 градуса восточной долготы на южном берегу; далее 2,4 км по прямой на юго-юго-восток до южной оконечности оз. Ниж.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Коньпаръявр, где берет свое начало ручей, впадающий с востока в р. Мучка, (значимая точки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-06 (характерная точка 885)) с координатами 69,124066 градуса северной широты и 35,19098 градуса восточной долготы); далее граница кластера проходит 350 м по прямой на юго-запад до крайней северной точки земельного участка 51:07:0030101:27, далее по северо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-северо-западной границе данного земельного участка и далее 460 м по западной границе этого земельного участка; далее около 430 м по прямой на западо-юго-запад до значимой точки 2-07 (характерная точка 889) с координатами 69,115688 градуса северной широты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35,15416 градуса восточной долготы, расположенной на расстоянии 270 м от вершины 172,4 точки на прямой линии, соединяющий вершину 173,4 и точку в устье безымянного ручья, впадающего в реку Мучка по левому берегу; далее 270 м по прямой на северо-запад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вершины 173.4; далее 680 м по прямой на север до точки на левом берегу реки Териберка; далее с общим направлением на северо-запад по красной линии и по левому берегу вниз по течению реки Териберка до значимой точки 2-08 (характерная точка 912) с координата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69,129907 градуса северной широты и 35,145334 градуса восточной долготы; далее 360 м по прямой на западо-северо-запад до северной оконечности круглого безымянного озерка; далее 650 м по прямой на западо-северо-запад до северной оконечности безымянного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зера; далее 325 м по прямой на запад до высоты 177.0; далее 310 м по прямой на северо-северо-запад до юго-западной оконечности безымянного озера, далее 515 м по прямой на северо-северо-запад до восточной оконечности маленького безымянного озера, 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юго-восточнее высоты 161.4, а оттуда 630 м по прямой на северо-запад до значимой точки 2-01, с которой было начато описание границы кластера.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3: граница кластера 3 проходит от значимой точки 3-01 (характерная точка 918) с координатами 69,17466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градуса северной широты и 35,176751 градуса восточной долготы, расположенной в месте впадения в Баренцево море (губа Лодейная) безымянного ручья, через который в 450 м выше по его течению пересекает дорога к месту планируемого расположения завода СПГ (Шт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окман Девелопмент АГ); далее около 1 км с общим направлением на северо-восток по береговой линии Баренцева моря до места впадения в него безымянного ручья; далее 200 м вверх по течению этого ручья до его пересечения с границей земельного участка 51:07:0030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101:140; далее по этой границе примерно 200 м общим направлением на юго-восток до пересечения ее с границей земельного участка 51:07:0030101:121; далее примерно 900 м по границе земельного участка 51:07:0030101:121 с общим 7 направлением на юго-запад до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с безымянным ручьем, впадающим в Баренцево море (губа Лодейная), который в 450 м выше устья пересекает дорога к месту планируемого расположения завода СПГ (Штокман Девелопмент АГ); далее вниз по течению этого ручья до места его впадения в Баре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нцево море (губа Лодейная)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значимой точки 3-01, с которой было начато описание границ кластера.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 границах ООПТ иных особо охраняемых природных территорий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особенности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нарушенность территории: 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районе природного парка располагаются существующее сельское поселение Териберка, которое состоит из двух кластеров, а также территории метеостанции и пограничной заставы. В пределах жилой и технической застройки экосистемы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сильно трансформированы. Тундровые и болотные сообщества, местами, преобразованы в антропогенные луга и техногенные растительные группировки, для которых характерно высокое участие и обилие адвентивных видов растений, а также фрагментация растительного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крова. В пределах сельского поселения обнаружены опасные, потенциально инвазионные виды растений: роза морщинистая, астра иволистная, таран Вейриха. Местонахождения их пока единичны, однако они могут представлять реальную угрозу для арктических экосистем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ериберки и их эстетических качеств. Необходимо принятие мер по борьбе с ними.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 сельскому поселению с юга подходит автодорога 47К-051, периферия которой занята трансформированными техногенными растительными сообществами. Вдоль трассы располагаются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генные растительные группировки, которые сформировались в результате механического нарушения растительного покрова и создания насыпей. К автодороге примыкают временные проезды, на которых растительный покров нарушен в меньшей степени.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 сельскому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проходят коммуникации линий электропередач и связи, а также в близи него размещается водозаборная станция и водовод. Вдоль этих сооружений коммуникаций наблюдаются незначительные нарушения почвенно-растительного покрова.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Строящаяся дорога к планирую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щейся береговой инфраструктуре Штокмановского месторождения располагается к востоку от поселка. Вдоль нее растительный покров сильно нарушен, часть скальных сопок пройдено взрывными работами. Растительность представлена спонтанно формирующимися группировка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из апофитов. Поскольку, ранее при проведении инженерно-экологических изысканий, этой дороги не существовало, для выполнения работ использовалась тяжелая гусеничная техника. Это привело к локальным значительным механическим нарушениям растительного 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турбированию грунта и торфяных залежей, а так же к дорожной эрозии.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западной части территории близ озер Малого Батарейского и Секретарского естественный растительный покров имеет сильные нарушения в результате бесконтрольного проезда на автомототр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анспорте и внедорожной технике и использования территории для кемпингов. В результате произошло как локальное нарушение тундр и березовых криволесий, так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площадное уничтожение растительных сообществ. Для восстановления растительного покрова необходимо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именение методов экологической реставрации.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Прилегающие территории к Батарейскому водопаду имеют высокую степень антропогенных нарушений в результате интенсивного потока туристов и отсутствия обустроенной инфраструктуры. Вокруг водопада на несколько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ятков метров естественный растительный почти полностью вытоптан: среди трещин скал присутствует только обнаженный торф с единичными травмированными тундровыми кустарничками и апофитами. Отмечены локальные обрушения скал, сбросы торфа и осыпей близ водопада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множественной прокладки тропиночной сети вдоль водопада с целью спуска к морю. Для сохранения природно-территориального комплекса Батарейского водопада и безопасности туристов необходимо обустройство смотровой площадки и создание заграждений.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Приморские террасы с колосняковыми лугами, участки тундр и березовых криволесий к востоку от поселения претерпевают значительную рекреационную нагрузку, что приводит к деградации этих экосистем. Наибольшее негативное воздействие наблюдается в полосе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лосняковых лугов, поскольку здесь размещаются кемпинги с заездом автомототранспорта. Из-за загрязнения территории пищевыми отходами и мусором здесь появляются рудеральны растения, в том числе проростки томата и картофеля. В результате механических поврежде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происходит снижение проективного покрытия и разрушение растительных сообществ, а как следствие снижается аттрактивность ландшафтов. В прилегающих разреженных березовых криволесьях и тундрах в большом количестве присутствует бытовой мусор, десятки броше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одноразовых мангалов и прочие следы жизнедеятельности человека. Вызывает опасение внедрение в эти нарушенные приморские экосистемы потенциально инвазионных видов розы морщинистой и астры иволистной.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Горные тундры и щебнистые участки на вершинах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морских сопок в районе Малого Батарейского, Секретарского озер и Батарейского водопада сильно нарушены в результате интенсивной неконтролируемой рекреации. В сообществах в результате постоянного вытаптывания снизилось проективное покрытие кустарничков, лиш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айников и мхов, появились пятна обнаженного торфа и грунта, активизировались эрозионные процессы. В результате происходит деградация мест обитания редких видов растений, особенно в местах выхода кальцийсодержащих пород на пологих склонах.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Крупновалунные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морские террасы и каменные пляжи к северу от Секретарского и Питьевого озер имеют незначительные антропогенные нарушения. Растительный покров представлен сообществами из накипных лишайников на валунах и отдельных группировок сосудистых растений, мхов, 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еночников и кустистых лишайников. В результате расчистки для проездов и создания каменных композиций эта первичная растительность деградирует.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 куту губы близ поселка Лодейное наблюдается отчетливая эвтрофикация, выражающаяся в бурном развитии колоний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побережьях и мелководьях зеленых водорослей. В настоящее время водоотведение бытовых стоков осуществляется самотеком в Териберскоую губу; очистные сооружения отсутствуют. Это приводит к негативным последствиям, которые выражаются снижении привлекательн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ландшафтов, деградации экосистем литорали и мелководий, а также неблагоприятной экологической обстановке.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краткая характеристика рельефа: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местности эрозионно-денудационный, гористо-тундровый, резко расчлененный. Абсолютные отметки 0–177 м.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 относится к группе Мурманских тундровых ландшафтов, характеризующихся слабым выветриванием коренных кристаллических пород, эпизодически развитым крайне маломощным почвенным покровом (тундровые иллювиально-гумусовые почвы и альфегумусовые подзолы)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звитием тундровой растительности с карликовыми формами древесной растительности. Многолетнемёрзлые породы в пределах территории строительства отсутствуют. Межсопочные понижения заболочены либо заполнены многочисленными мелкими озерами.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поро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представлены архейскими высокометаморфизованными плагио-микроклиновыми магматизированными гнейсами, прорванными телами гранитоидов, основными и ультраосновными дайками. Четвертичные отложения развиты в депрессионных понижениях, в долинах рек. Среди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выделяются гляциальные (валуны, глинисто-песчаная валунная морена), флювиогляциальные (песчаные, гравийные и валунно-галечниковые), лимно-гляциальные, морские и озерные отложения.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краткая характеристика климата: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территории обусловлен, в первую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ередь, влиянием Баренцева моря. Здесь преобладают воздушные массы, связанные с интенсивной циклонической деятельностью, которая развита над Норвежским и Баренцевым морями. Наиболее интенсивно циклоническая деятельность проявляется в зимнее время года,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печивая относительно высокие зимние температуры по сравнению с континентальными районами заполярья. Частая смена воздушных масс, связанная с интенсивным перемещением циклонов и фронтов, проявляется в характерной неустойчивости и резкой изменчивости погоды.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годовая температура воздуха в исследуемом регионе составляет +0,6 °С. Средняя температура наиболее холодных месяцев (январь, февраль) составляет -7,8 – -8,5 °С. Абсолютный минимум по метеостанции Териберка составил -31 °С. Абсолютный максимум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ературы воздуха – +35 °С. Район работ локализован в зоне избыточного увлажнения. Среднемноголетнее количество осадков по данным метеостанции Териберка составляет 472 мм. Большая их часть, около 60%, выпадает в теплый период года. Наименьшее количество 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выпадает в марте-апреле, наибольшее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августе-сентябре. Средняя годовая относительная влажность воздуха составляет около 80%. Вдоль морского побережья она несколько выше, на возвышенных участках наблюдаются максимальные средние значения влажности. 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дней в году здесь очень мало. Среднегодовая облачность по метеостанции Териберка составляет 7,8 баллов. Максимального развития облачность достигает в теплое время года, и особенно велика в августе-октябре. Характерным атмосферным явлением для данной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рритории является метель. Метель отмечается здесь с октября по апрель. При этом наибольшее число дней с метелями наблюдается в январе и феврале, несколько меньше – в марте и декабре. В отдельные годы метели были отмечены в мае, и даже в июне.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Снежный 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формируется в первых числах ноября. С увеличением высоты установление снежного покрова наблюдается раньше примерно на 3-4 дня на каждые 100 м подъема. Продолжительность залегания снежного покрова составляет в среднем 192 дня. Наибольшая из средних толщин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снежного покрова на открытом месте составляет 25 см, наблюденный максимум – 48 см.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краткая характеристика почвенного покрова: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очвообразующие породы представлены в основном четвертичными отложениями, среди которых преобладают континентальные породы, главным образом, моренные и водно-ледниковые (флювио- и озерно-гляциальные) наносы последнего, валдайского оледенения. Почти все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численные почвообразующие породы по гранулометрическому составу относятся к пескам и, реже, супесям. Моренные и элювиальные породы, как правило, сильно завалунены. Морские и флювиогляциальные пески хорошо отсортированы, лишены валунов и крупнозема, грубозе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рнистые. Для морских суглинков и глин характерно значительное содержание пылеватых частиц и малое количество ила. На песчаных породах в пределах исследуемой территории формируются Al-Fe-гумусовые подзолы, они занимают разные позиции по рельефу и степени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лажнения. Подзолы (иллювиально-железистые и иллювиально-гумусовые) занимают автоморфные позиции без дополнительного увлажнения (поверхностного или внутрипочвенного), а также трансэлювиальные позиции со слабым дополнительным притоком вод. В более увлажненны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местоположениях, в том числе и в плакорных условиях с хорошим увлажнением развиты иллювиально-гумусовые подзолы преимущественно под кустарничковыми сообществами. Торфяно-подзолы отличаются хорошо выраженным элювиально-иллювиальным перераспределением гуму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и химических элементов, но от типичных подзолов отличаются более мощным (10-50 см) оторфованным органогенным горизонтом и темной окраской иллювиального горизонта. Наиболее распространены торфяные почвы переходных и низинных болот.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краткое описание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дрологической сети: данные отсутствуют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краткая характеристика флоры и растительности:</w:t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соответствии с зональным делением России и сопредельных государств, настоящая территория относится к подзоне южных гипоарктических (кустарниковых) тундр тундровой зо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ны. Для настоящего сектора подзоны характерны – ерниковые (Betula nana – карликовая береза), ивовые (Salix lanata – ива мохнатая, S. phylicifolia – ива финиколистная, S. glauca – ива сизая), травяно-кустарничковые (Empetrum nigrum subsp. hermaphroditum –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одяника гермафродитная, Salix herbacea – ива травянистая; Calluna vulgaris - вереск, Carex bigelowii – осока Бигелоу, Avenella flexuosa – луговик извилистый, Festuca ovina – овсяница овечья) тундры и бугристые кустарничково-мохово-лишайниковые болота. (Саф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ронова, И.Н., Юрковская, Т.К., Микляева, И.М. (1999). Закономерности зонального распределения растительного покрова. В: Г.Н.Огуреева, под ред., Зоны и типы поясности России и сопредельных территорий. Москва: Экор, 5–32).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ж) краткие сведения о лесном фонде: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Вся территория природного парка «Териберка» располагается вне лесного фонда.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з) краткие сведения о животном мире:</w:t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Животный мир природного парка является типичным для баренцевоморского побережья Кольского полуострова. Наземные позвоночные представлены здес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ь приморскими и тундровыми видами.</w:t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Доминирующими группами наземных позвоночных на территории природного парка являются: </w:t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среди млекопитающих: насекомоядные, мышевидные грызуны и куньи;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среди птиц: курообразные, ржанкообразные и воробьеобразные.  </w:t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ольку природный парк непосредственно примыкает к населённому пункту, на его территории встречаются синантропные (связанные в своем расселении с населенными пунктами) виды позвоночных животных: серая крыса, домовая мышь, сизый голубь, воробьи.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и) сведения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редких и находящихся под угрозой исчезновения объектах животного и растительного мира:</w:t>
            </w:r>
            <w:r/>
          </w:p>
          <w:tbl>
            <w:tblPr>
              <w:tblStyle w:val="833"/>
              <w:tblpPr w:horzAnchor="text" w:tblpXSpec="left" w:vertAnchor="text" w:tblpY="1" w:leftFromText="180" w:topFromText="0" w:rightFromText="180" w:bottomFromText="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6"/>
              <w:gridCol w:w="2195"/>
              <w:gridCol w:w="993"/>
              <w:gridCol w:w="992"/>
            </w:tblGrid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Латинское название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Русское название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ККМО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ККРФ</w:t>
                  </w:r>
                  <w:r/>
                </w:p>
              </w:tc>
            </w:tr>
            <w:tr>
              <w:trPr/>
              <w:tc>
                <w:tcPr>
                  <w:gridSpan w:val="4"/>
                  <w:tcW w:w="651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СОСУДИСТЫЕ РАСТЕНИЯ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Alchemilla alpina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Манжетка альпийская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Angelica archangelica ssp. litoralis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(Fr.) Thell.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Дудник прибрежный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Atriplex kuzenevae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Semenova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Лебеда Кузенёвой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Botrychium multifidum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(S. G. Gmel.)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Rupr.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Гроздовник многораздельный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Castilleja lapponica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Gand.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Кастиллея лапландская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Hieracium furvescens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(Dahlst.) Omang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Ястребинка мрачноватая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Isoetes lacustris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Полушник озерный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Polemonium boreale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Adams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Синюха северная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Polygonum norvegicum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(Sam.) Sam. ex Lid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Горец норвежский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Potamogeton filiformis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Pers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Рдест нитевидный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Rhodiola rosea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Родиола розовая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Rumex graminifolius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Rudolph ex Lamb.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Щавель злаколистный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Valeriana sambucifolia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Mikan fil.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Валериана бузинолистная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gridSpan w:val="4"/>
                  <w:tcW w:w="651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МОХООБРАЗНЫЕ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Andreaea obovata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Thed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Андреа обратнояйцевидная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Andreaea crassinervia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Bruch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Андреа толстожилковая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1б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Buxbaumia aphylla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Hedw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Буксбаумия безлистная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Cynodontium suecicum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(Arnell &amp; C.E.O. Jensen) I. Hagen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Цинодонциум шведский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Rhabdoweisia fugax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(Hedw.) Bruch &amp; al.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Рабдовейзия скороопадающая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Kurzia pauciflora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(Dicks.) Grolle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Курция малоцветковая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Protolophozia elongata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(Steph.) Schljakov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Протолофозия удлинённая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2а</w:t>
                  </w:r>
                  <w:r/>
                </w:p>
              </w:tc>
            </w:tr>
            <w:tr>
              <w:trPr/>
              <w:tc>
                <w:tcPr>
                  <w:gridSpan w:val="4"/>
                  <w:tcW w:w="651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ЛИШАЙНИКИ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Lichenomphalia hudsoniana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(H. S. Jenn.)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Redhead et al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Лихеномфалия гудзонская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3б</w:t>
                  </w:r>
                  <w:r/>
                </w:p>
              </w:tc>
            </w:tr>
            <w:tr>
              <w:trPr/>
              <w:tc>
                <w:tcPr>
                  <w:gridSpan w:val="4"/>
                  <w:tcW w:w="651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ГРИБЫ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Clavicorona taxophila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(Thom) Doty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Клавикорона тиссовая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</w:tr>
            <w:tr>
              <w:trPr/>
              <w:tc>
                <w:tcPr>
                  <w:gridSpan w:val="4"/>
                  <w:tcW w:w="651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ЖИВОТНЫЕ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Falco rusticolus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Linnaeus, 1758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Кречет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Haliaeetus albicilla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Linnaeus, 1758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Орлан-белохвост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Falco peregrinus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Tunstall, 1771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Сапсан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Phalacrocorax carbo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carbo Linnaeus, 1758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Большой баклан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Cygnus cygnus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Linnaeus, 1758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Лебедь-кликун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Somateria mollissima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Linnaeus, 1758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Обыкновенная гага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Catharacta skua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Brunnich, 1764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Большой поморник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Nuctea scandiaca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Linnaeus, 1758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Белая сова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W w:w="23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Eremophila alpestris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Linnaeus, 1758</w:t>
                  </w:r>
                  <w:r/>
                </w:p>
              </w:tc>
              <w:tc>
                <w:tcPr>
                  <w:tcW w:w="21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Рогатый жаворонок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к) суммарные сведения о биологическом разнообразии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:</w:t>
            </w:r>
            <w:r/>
          </w:p>
          <w:tbl>
            <w:tblPr>
              <w:tblStyle w:val="8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993"/>
              <w:gridCol w:w="1134"/>
              <w:gridCol w:w="1275"/>
              <w:gridCol w:w="1418"/>
            </w:tblGrid>
            <w:tr>
              <w:trPr>
                <w:trHeight w:val="344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Таксономическая группа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число выявленных видов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 видов, включенных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ККМО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 видов, включенных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ККРФ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 видов, включенных в Красную книгу МСОП</w:t>
                  </w:r>
                  <w:r/>
                </w:p>
              </w:tc>
            </w:tr>
            <w:tr>
              <w:trPr>
                <w:trHeight w:val="115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Сосудистые растения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196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</w:tr>
            <w:tr>
              <w:trPr>
                <w:trHeight w:val="112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Листостебельные мхи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152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</w:tr>
            <w:tr>
              <w:trPr>
                <w:trHeight w:val="56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Печеночники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73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</w:tr>
            <w:tr>
              <w:trPr>
                <w:trHeight w:val="56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Грибы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58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</w:tr>
            <w:tr>
              <w:trPr>
                <w:trHeight w:val="56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Лишайники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125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</w:tr>
            <w:tr>
              <w:trPr>
                <w:trHeight w:val="56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Млекопитающие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</w:tr>
            <w:tr>
              <w:trPr>
                <w:trHeight w:val="56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Птицы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</w:t>
                  </w:r>
                  <w:r/>
                </w:p>
              </w:tc>
            </w:tr>
            <w:tr>
              <w:trPr>
                <w:trHeight w:val="56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Пресмыкающиеся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</w:tr>
            <w:tr>
              <w:trPr>
                <w:trHeight w:val="56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Земноводные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  <w:tc>
                <w:tcPr>
                  <w:tcW w:w="127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  <w:tc>
                <w:tcPr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</w:t>
                  </w:r>
                  <w:r/>
                </w:p>
              </w:tc>
            </w:tr>
            <w:tr>
              <w:trPr>
                <w:trHeight w:val="56"/>
              </w:trPr>
              <w:tc>
                <w:tcPr>
                  <w:tcW w:w="169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Рыбы</w:t>
                  </w:r>
                  <w:r/>
                </w:p>
              </w:tc>
              <w:tc>
                <w:tcPr>
                  <w:gridSpan w:val="4"/>
                  <w:tcW w:w="482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Специальных исследований не проводилось</w: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л) краткая характеристика основных экосистем ООПТ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Типичная тундровая растительность представлена лишайниковыми тундрами. Боль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шую же часть составляет тундрообразная растительность – разнотипные вороничники. Они представляют собой тип экстразональной тундры, приуроченной к олиготрофным приморским местообитаниям. Абсолютным доминантом этих сообществ является Empetrum nigrum subsp.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ermaphroditum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водяника гермафродитная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), cодоминанты чаще всего отсутствуют. Обычно это флористически бедные сообщества.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м)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: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риморские скалы и сопки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десь произрастают арктические и арктоальпийские виды, которые представляют значительный интерес для любителей природы.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Водопад Малого Батарейского озера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эстетически красивый водопад, одна из главных природных достопримечательностей природного парка «Териберка».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Каменный пляж «яйца динозавров»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пляж, состоящий из круглых белых камней.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ечебно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сырь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морские водоросли из штормовых выбросов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о)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Артиллерийская батарея береговой обороны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непосредственный участник сражений времён Великой Отечественной войны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Метеостанция Териберки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ервая на Мурманском побережье метеостанция до сих пор бесперебойно функционирует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Поклонный крест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высокая обзорная точка, с которой открывается вид на побережье и океан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п) оценка современного состояния и вклада ООПТ в поддержание экологического баланса окружающих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Состояние природного парка – удовлетворительное.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природном парке распространены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тундровы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экосистем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отл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ичающихся высоким видовым богатством, наличием большого числа редких и уязвимых объектов растительного и животного мира, которые сохранились здесь, несмотря на активное и иногда даже агрессивное использование этой территории, в течение длительного времени.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Экспликация земель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pStyle w:val="837"/>
              <w:rPr>
                <w:color w:val="auto"/>
              </w:rPr>
            </w:pPr>
            <w:r>
              <w:rPr>
                <w:color w:val="auto"/>
              </w:rPr>
              <w:t xml:space="preserve">Экспликация по составу земель: </w:t>
            </w:r>
            <w:r/>
          </w:p>
          <w:p>
            <w:pPr>
              <w:pStyle w:val="837"/>
              <w:rPr>
                <w:color w:val="auto"/>
              </w:rPr>
            </w:pPr>
            <w:r>
              <w:rPr>
                <w:color w:val="auto"/>
              </w:rPr>
              <w:t xml:space="preserve">а) земли запаса: 2156,7 га - 68,9 %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назначения: 849,2 га - 27,2 %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земли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назначения: 123 га - 3,9 %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Негативное воздействие на ООПТ (факторы и угрозы)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факторы негативного воздействия;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выявлены.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угрозы негативного воздействия.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Нерегулируемый туризм.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Юридические лица, ответственные за обеспечение охраны и функционирование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Управление, обеспечение функционирования ООПТ:</w:t>
            </w:r>
            <w:r/>
          </w:p>
          <w:p>
            <w:pPr>
              <w:jc w:val="both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gokudirekziaoopt@yandex.ru, https://vk.com/o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opt_murmansk; дата присвоения ОГРН: 26.12.2005 г., ОГРН: 1055100103970, директор: Шапиев Руслан Магомедович, заместитель директора: Локтев Александр Владимирович.</w:t>
            </w:r>
            <w:r/>
          </w:p>
          <w:p>
            <w:pPr>
              <w:jc w:val="both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  <w:r/>
          </w:p>
          <w:p>
            <w:pPr>
              <w:jc w:val="both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ГОКУ МО «Центр лесного и эколо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гического контроля»; Россия, 183038, Мурманская область, город Мурманск, Верхне-Ростинское ш., д. 53, тел.: Дежурная часть: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+79020357457, приемная: (815-2) 56-00-85, e-mail: lescentr51@mail.ru; дата присвоения ОГРН: 29.12.2007 г., ОГРН: 1075190025041, и.о.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руководителя: Плевако Василий Иванович.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иных лицах, на которые возложены обязательства по охране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режим охраны и использования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охраны определен п. 5 Положения о природном парке «Териберка», утвержденного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становлением правительства Мурманской области от 13.09.2021 № 643-ПП «О создании природного парка «Териберка»: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На территории природного парка запрещается любая деятельность, если она противоречит целям создания природного парка или причиняет вред 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няемым природным комплексам и их компонентам.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На территории природного парка установлен дифференцированный режим особой охраны с учетом природных, рекреационных и иных особенностей. Схема функционального зонирования природного парка приведена в приложении N 4 к Положению. Выделены следующие зоны: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5.2.1. Природоохранная зона, предназначенная для сохранения природной среды в естественном состоянии. Уменьшение площади природоохранной зоны не допускается.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природоохранной зоны запрещена любая хозяйственная деятельность, в том числе: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Перевод земель в земли иных категорий, за исключением категории "земли особо охраняемых территорий и объектов". 5.2.1.2. Любое повреждение деревьев и кустарников, почвенного покрова (за исключением повреждения почвенного покрова при проведении разрешенн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настоящим Положением видов деятельности).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5.2.1.3. Любые действия, приводящие к снижению проективного покрытия травянокустарничкового и/или мохово-лишайникового яруса или выпадению из его участков отдельных видов растений, грибов и лишайников.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 виды охоты, за исключением охоты с целью осуществления регулирования численности охотничьих ресурсов.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5.2.1.5. Промышленное рыболовство, любительское рыболовство, рыболовство в целях аквакультуры (рыбоводства), аквакультура (рыбоводство).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Любая добыча объектов животного мира, не отнесенных к охотничьим ресурсам и водным биологическим ресурсам.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5.2.1.7. Любые использование полезных свойств жизнедеятельности объектов животного мира, извлечение полезных свойств жизнедеятельности объектов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тного мира и получение продуктов жизнедеятельности объектов животного мира, осуществляемые посредством изъятия объектов животного мира из среды их обитания.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5.2.1.8. Нахождение с огнестрельным, пневматическим и метательным оружием (в том числе с охотничьи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огнестрельным оружием в собранном виде на дорогах), капканами и другими орудиями охоты, с добытыми объектами животного мира и полученной из них продукцией, с орудиями добычи (вылова) водных биоресурсов, с добытыми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(выловленными) водными биоресурсами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лученной из них продукцией, за исключением случаев, связанных с выполнением служебных обязанностей.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5.2.1.9. Сбор яиц и разорение гнезд диких птиц, разрушение и раскопка постоянных жилищ диких зверей.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5.2.1.10. Все виды мелиоративных и ирригационных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иная деятельность, ведущая к изменению гидрологического режима территории природного парка.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5.2.1.11. Изменение гидрологического и гидрохимического режима.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5.2.1.12. Горные, буровые и взрывные работы.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5.2.1.13. Поиск, разведка и добыча полезных ископ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аемых, торфа и сапропеля.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5.2.1.14. Применение любых ядохимикатов, минеральных удобрений, стимуляторов роста растений.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5.2.1.15. Сбор и заготовка мха и всех видов лишайников (в том числе ягеля).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5.2.1.16. Сбор и вывоз объектов неживой природы без разреш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управляющего учреждения.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5.2.1.17. Распашка земель.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5.2.1.18. Захламление и загрязнение территории.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5.2.1.19. Засорение и загрязнение водоемов (в том числе мойка автомототранспорта и гусеничной техники в водоемах).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5.2.1.20. Передвижение и стоянка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любых видов автомототранспорта и гусеничной техники, за исключением случаев, связанных с выполнением служебных обязанностей по обеспечению безопасности Российской Федерации, а также за исключением случаев передвижения и стоянки автомототранспорта и гусени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чной техники в целях тушения пожаров, оказания медицинской помощи пострадавшим, проведения спасательных работ, осуществления государственного экологического надзора, государственного контроля (надзора) в области охраны и использования особо охраняемых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одных территорий и деятельности управляющего учреждения по обеспечению функционирования природного парка.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5.2.1.21. Любое новое строительство, возведение строений и сооружений временного и капитального характера, за исключением обустройства экологических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 и маршрутов, маркировки и оборудования трасс маршрутного туризма непосредственно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5.2.1.22. Прокладка дорог и любых иных коммуникаций. 5.2.1.23. Разбивка туристических стоянок и разведение костров. 5.2.1.24. Сбор и заготовка грибов, дикорастущих и лекарственных растений и частей растений (в том числе ягод), за исключением попутного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собственных нужд грибов и ягод при индивидуальном и групповом посещении по установленным управляющим учреждением маршрутам на расстоянии не более 10 метров в обе стороны от оси маршрута. 5.2.1.25. Выпас скота, в том числе выпас домашних северных 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а также заготовка любых кормов для домашних и сельскохозяйственных животных.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5.2.1.26. Предоставление в пользование водных объектов. 5.2.1.27. Акклиматизация и интродукция.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5.2.1.28. Поисковые и археологические полевые работы. 5.2.1.29. Уничтожение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повреждение аншлагов, шлагбаумов, стендов и других информационных знаков и указателей, оборудованных экологических троп на территории природного парка, а также имущества природного парка, нанесение надписей и знаков на валунах, обнажениях горных пород.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2.1.30. Посещение вне установленных управляющим учреждением маршрутов, за исключением природно-познавательного пешего туризма и экскурсий по специальным разрешениям, выдаваемым управляющим учреждением. 5.2.1.31. Проведение спортивных и культурно-массовых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5.2.1.32. Размещение скотомогильников (биотермических ям). 5.2.1.33. Создание объектов размещения отходов производства и потребления, радиоактивных, химических, взрывчатых, токсичных, отравляющих и ядовитых веществ.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 В пределах природоо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хранной зоны разрешена следующая деятельность: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5.2.2.1. Индивидуальное и групповое посещение по установленным управляющим учреждением маршрутам по разрешениям, выдаваемым управляющим учреждением; природнопознавательный пеший туризм и экскурсии вне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маршрутов исключительно по специальным разрешениям, выдаваемым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5.2.2.2. Проведение научных исследований, не препятствующих выполнению возложенных на природный парк задач, не связанных с нарушением режима и не нарушающих естественное функционирование экологических систем, природных ландшафтов и природных комплексов.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.2.2.3. Проведение мероприятий, связанных с выполнением служебных обязанностей по обеспечению безопасности Российской Федерации, защите и охране Государственной границы Российской Федерации, в том числе с использованием вооружения и техники, а также тушени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пожаров, оказание медицинской помощи пострадавшим, проведение спасательных работ, осуществление государственного экологического надзора и деятельности управляющего учреждения по обеспечению функционирования природного парка с использованием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техники.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5.2.2.4. Попутный сбор для собственных нужд грибов и ягод при индивидуальном и групповом посещении по установленным управляющим учреждением маршрутам на расстоянии не более 10 метров в обе стороны от оси маршрута.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5.2.2.5. Охота с целью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ствления регулирования численности охотничьих ресурсов.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5.2.2.6. Обустройство экологических троп и маршрутов, маркировка и оборудование трасс маршрутного туризма непосредственно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 Рекреационная зона, предназначенная для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и осуществления рекреационной деятельности и природно-познавательного туризма. В рекреационной зоне запрещается: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5.2.3.1. Перевод земель в земли иных категорий, за исключением категории "земли особо охраняемых территорий и объектов". 5.2.3.2. Любое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повреждение деревьев и кустарников, почвенного покрова (за исключением повреждения почвенного покрова при проведении разрешенных настоящим Положением видов деятельности).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5.2.3.3. Любые действия, приводящие к снижению проективного покрытия травянокустарн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ичкового и/или мохово-лишайникового яруса или выпадению из его участков отдельных видов растений, грибов и лишайников (за исключением последствий, возникающих при проведении разрешенных настоящим Положением видов деятельности). 5.2.3.4. Все виды охоты,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охоты с целью осуществления регулирования численности охотничьих ресурсов и охоты в научных целях по специальному согласованию с уполномоченным органом.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5.2.3.5. Промышленное рыболовство и рыболовство в целях аквакультуры (рыбоводства), акваку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льтура (рыбоводство). 5.2.3.6. Любая добыча объектов животного мира, не отнесенных к охотничьим ресурсам и водным биологическим ресурсам, за исключением добычи объектов животного мира в научных целях по разрешениям специально уполномоченных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по охране, контролю и регулированию использования объектов животного мира и среды обитания в соответствии с разграничением полномочий, предусмотренных статьями 5 и 6 Федерального закона от 24.04.1995 N 52-ФЗ "О животном мире".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5.2.3.7. Любые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 полезных свойств жизнедеятельности объектов животного мира, извлечение полезных свойств жизнедеятельности объектов животного мира и получение продуктов жизнедеятельности объектов животного мира, осуществляемые посредством изъятия объектов животно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мира из среды их обитания.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5.2.3.8. Нахождение с огнестрельным, пневматическим и метательным оружием (в том числе с охотничьим огнестрельным оружием в собранном виде на дорогах), капканами и другими орудиями охоты, с добытыми объектами животного мира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из них продукцией, за исключением случаев, связанных с выполнением служебных обязанностей, с охотой в научных целях по специальному согласованию с уполномоченным органом, с добычей объектов животного мира, не отнесенных к охотничьим ресурсам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водным биологическим ресурсам, в научных целях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 в соответствии с разграничением полномочий, 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ренных статьями 5 и 6 Федерального закона от 24.04.1995 N 52-ФЗ "О животном мире".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5.2.3.9. Сбор яиц и разорение гнезд диких птиц, разрушение и раскопка постоянных жилищ диких зверей.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5.2.3.10. Изменение гидрологического и гидрохимического режима, за искл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ючением изменения гидрологического режима, связанного с текущим функционированием Териберских ГЭС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забора воды для питьевого водоснабжения из озера Секретарское.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5.2.3.11. Горные, буровые и взрывные работы.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5.2.3.12. Поиск, разведка и добыча полезных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копаемых, торфа и сапропеля.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5.2.3.13. Применение любых ядохимикатов, минеральных удобрений, стимуляторов роста растений.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5.2.3.14. Сбор и заготовка мха и всех видов лишайников (в том числе ягеля).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5.2.3.15. Сбор и вывоз объектов неживой природы без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управляющего учреждения.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5.2.3.16. Распашка земель.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5.2.3.17. Захламление и загрязнение территории. 5.2.3.18. Засорение и загрязнение водоемов (в том числе мойка автомототранспорта и гусеничной техники в водоемах).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5.2.3.19. Акклиматизация 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родукция.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5.2.3.20. Возведение строений и сооружений капитального характера, за исключением строительства, предусмотренного п. 5.2.4.16.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5.2.3.21. Разбивка туристических стоянок и разведение костров вне специально отведенных для этого мест.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5.2.3.22.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 скота, а также заготовка любых кормов для домашних и сельскохозяйственных животных.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5.2.3.23. Предоставление в пользование водных объектов, за исключением использования водных объектов для целей питьевого и хозяйственно-бытового водоснабжения 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 с управляющим учреждением, а также использования реки Териберка в целях обеспечения функционирования Териберской ГЭС.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5.2.3.24. Обработка уловов любительского рыболовства (потрошение, обезглавливание) вне согласованных с управляющим учреждением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5.2.3.25. Размещение скотомогильников (биотермических ям). 5.2.3.26. Создание объектов размещения отходов производства и потребления, радиоактивных, химических, взрывчатых, токсичных, отравляющих и ядовитых веществ, за исключением временного накоплени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твердых коммунальных отходов на срок не более чем один месяц в местах (на площадках), специально определенных управляющим учреждением и обустроенных в соответствии с требованиями законодательства Российской Федерации в области охраны окружающей среды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санитарно-эпидемиологического благополучия населения, в целях их дальнейшего транспортирования, обработки, утилизации, обезвреживания, размещения. 5.2.3.27. Уничтожение и повреждение аншлагов, шлагбаумов, стендов и других информационных и навига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ционных знаков и указателей, оборудованных экологических троп и мест отдыха и других объектов рекреационной и природоохранной инфраструктуры на территории природного парка, а также имущества природного парка, нанесение надписей и знаков на валунах, обнажен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иях горных пород и историко-культурных объектах. 5.2.3.28. Проведение биологической рекультивации земель.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 В пределах рекреационной зоны разрешена следующая деятельность: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5.2.4.1. Прокладка линейных объектов для целей функционирования природного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осуществления на его территории рекреационной деятельности по согласованию с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5.2.4.2. Возведение и реконструкция строений и сооружений временного характера исключительно для целей функционирования природного парка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на его территории природно-познавательного туризма и рекреационной деятельности непосредственно управляющим учреждением или по согласованию с ним.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5.2.4.3. Индивидуальное и групповое посещение по разрешениям, выдаваемым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5.2.4.4. Обустройство экологических троп и маршрутов, маркировка и оборудование трасс маршрутного туризма, устройство мест стоянок для дневного отдыха и ночл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ега непосредственно управляющим учреждением или по согласованию с ним.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5.2.4.5. Сбор и заготовка для собственных нужд грибов, дикорастущих и лекарственных растений и частей растений (в том числе ягод), за исключением грибов, лишайников и растений, относящ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ихся к видам, занесенным в Красные книги Мурманской области и Российской Федерации.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5.2.4.6. Охота с целью осуществления регулирования численности охотничьих ресурсов и охоты в научных целях по специальному согласованию с уполномоченным органом. 5.2.4.7.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рыболовство в соответствии с законодательством в сфере рыболовства и сохранения водных биоресурсов; нахождение граждан с орудиями добычи (вылова) водных биологических ресурсов, добытыми (выловленными) водными биологическими ресурсами.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Добыча объектов животного мира, не отнесенных к охотничьим ресурсам и водным биологическим ресурсам, в научных целях по специальному согласованию с уполномоченным органом.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5.2.4.9. Проведение спортивных и культурно-массовых мероприятий по согласованию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 учреждением. 5.2.4.10. Проведение научных исследований, не препятствующих выполнению возложенных на природный парк задач, не связанных с нарушением режима и не нарушающих естественное функционирование экологических систем, природных ландшафтов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природных комплексов при условии согласования работ с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5.2.4.11. Благоустройство территории без элементов капитального строительства и разрушения естественного облика ландшафтов, не нарушающее естественное функционирование 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гических систем, природных ландшафтов и природных комплексов непосредственно управляющим учреждением или по согласованию с ним.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5.2.4.12. Передвижение и стоянка любых видов автомототранспорта по установленным управляющим учреждением маршрутам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разрешений управляющего учреждения с соблюдением ограничений по количеству транспорта в зависимости от рекреационной емкости и исходя из реального состояния природных и историко-культурных комплексов и объектов, а также передвижение и стоянка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автомототранспорта в соответствии с п. 5.2.4.15.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5.2.4.13. Передвижение и стоянка снегоходных механизированных транспортных средств в период существования устойчивого снегового покрова свыше 30 сантиметров по установленным управляющим учреждением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на основании специальных разрешений управляющего учреждения с соблюдением ограничений по количеству транспорта в зависимости от рекреационной емкости и исходя из реального состояния природных и историко-культурных комплексов и объектов, а также передвиже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 стоянка снегоходных механизированных транспортных средств в соответствии с п. 5.2.4.15.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5.2.4.14. Восстановление растительного покрова исключительно путем технической рекультивации с последующим естественным заращиванием при условии согласования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5.2.4.15. Проведение мероприятий, связанных с выполнением служебных обязанностей по обеспечению безопасности Российской Федерации, защите и охране Государственной границы Российской Федерации, в том числе с использованием 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ружения и техники, а также тушение пожаров, оказание медицинской помощи пострадавшим, проведение спасательных работ, осуществление государственного экологического надзора и деятельности управляющего учреждения по обеспечению функционирования природного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с использованием соответствующей техники.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5.2.4.16. Строительство (возведение) пограничными органами необходимых инженернотехнических сооружений, линий связи и коммуникаций, осуществляемое в соответствии с требованиями действующего законодательства.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5.2.4.17. Мероприятия по обеспечению охраны и эксплуатации источника хозяйственнопитьевого водоснабжения оз. Секретарское, предусмотренные законодательством о санитарноэпидемиологическом благополучии населения. 5.2.4.18. Поисковые и археологические полевые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согласованию с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5.2.4.19. Временное накопление твердых коммунальных отходов на срок не более чем один месяц в местах (на площадках), специально определенных управляющим учреждением и обустроенных в соответствии с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законодательства Российской Федерации в области охраны окружающей среды и обеспечения санитарно-эпидемиологического благополучия населения, в целях их дальнейшего транспортирования, обработки, утилизации, обезвреживания, размещения.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5.2.5. Все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риятия, не оговоренные специально как запрещенные или разрешенные в границах природоохранной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рекреационной зон природного парка, проводятся при условии согласования с управляющим учреждением.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5.2.6. На участках пересечения территории природного парка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с иными требованиями по охране окружающей среды действуют более строгие природоохранные требования. 5.2.7. В целях сохранения высокой рекреационной и эстетической ценности ландшафтов при возведении и реконструкции строений и сооружений временног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характера в соответствии с пунктом 5.2.4.2 настоящего Положения согласованию с управляющим учреждением дополнительно подлежат функциональное назначение возводимых и реконструируемых строений и сооружений, приемы застройки по высоте, характеру озеленения,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благоустройства и другие показатели для обеспечения ландшафтного и архитектурного единства новых и реконструируемых построек с исторически сложившейся средой.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Посещение природного парка является платным и допускается только при наличии разреш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управляющего учреждения, кроме случаев, предусмотренных законодательством РФ и Мурманской области, и случаев пребывания на территории природного парка граждан, постоянно проживающих или имеющих временную регистрацию по месту пребывания на территории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сельское поселение Териберка и их близких родственников (супруга, супруги, родителей, детей, усыновителей, усыновленных, полнородных и неполнородных братьев и сестер, дедушек, бабушек, внуков, опекунов, попечителей).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Туристс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деятельность, в составе реализуемой услуги или товара которой используется природный парк и (или) отдельные объекты и участки на территории природного парка, без заключения соглашения между юридическим лицом (или индивидуальным предпринимателем)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вляющим учреждением об экологически ответственном осуществлении туристской деятельности в отношении природного парка не допускается.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На территории природного парка не допускается деятельность по обслуживанию посетителей природного парка без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соглашения между юридическим лицом (или индивидуальным предпринимателем) с управляющим учреждением об экологически ответственном обслуживании посетителей в границах природного парка.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Экологически ответственное осуществление туристской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природного парка и экологически ответственное обслуживание посетителей в границах природного парка должны соответствовать следующим принципам: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5.6.1. Сохранность историко-культурных и природных комплексов и объектов.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5.6.2. Целостность ландша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фта и сохранение экологической, научной, эстетической, культурной и рекреационной ценности территории.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5.6.3. Безопасность посетителей.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 Ограниченность рекреационных нагрузок по научно обоснованным требованиям управляющего учреждения.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5.6.5.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сованность режимов посещения и правил поведения на территории природного парка с управляющим учреждением. 5.7. Лимиты для посещения природного парка, а также для передвижения и стоянки механизированных транспортных средств на территории природного парка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ределяются на основании научной оценки состояния природных и историко-культурных комплексов и объектов и применяются управляющим учреждением в порядке, установленном уполномоченным органом.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 Управляющее учреждение имеет право временно ограничивать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ещение природного парка и его отдельных участков, а также передвижение и стоянку механизированных транспортных средств на территории природного парка и его отдельных участках исходя из реального состояния природных и историко-культурных комплексов 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при превышении лимитов, установленных в соответствии с п. 5.7. 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Зонирование территории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парк «Териберка» расположен в двух зонах: природоохранной и рекреационной в соответствии с положением о природном парке «Териберка», утвержденным постановлением Правительства Мурманской области от 13.09.2021 № 643-ПП «О создании природного парка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«Териберка».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охранной зоны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отсутствуют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left="0" w:firstLine="0"/>
              <w:tabs>
                <w:tab w:val="left" w:pos="5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Просветительские и рекреационные объекты на ООПТ</w:t>
            </w:r>
            <w:r/>
          </w:p>
        </w:tc>
        <w:tc>
          <w:tcPr>
            <w:tcW w:w="6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отсутствуют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sectPr>
      <w:footnotePr/>
      <w:endnotePr/>
      <w:type w:val="nextPage"/>
      <w:pgSz w:w="11906" w:h="16838" w:orient="portrait"/>
      <w:pgMar w:top="1135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6"/>
    <w:uiPriority w:val="10"/>
    <w:rPr>
      <w:sz w:val="48"/>
      <w:szCs w:val="48"/>
    </w:rPr>
  </w:style>
  <w:style w:type="character" w:styleId="646">
    <w:name w:val="Subtitle Char"/>
    <w:basedOn w:val="663"/>
    <w:link w:val="678"/>
    <w:uiPriority w:val="11"/>
    <w:rPr>
      <w:sz w:val="24"/>
      <w:szCs w:val="24"/>
    </w:rPr>
  </w:style>
  <w:style w:type="character" w:styleId="647">
    <w:name w:val="Quote Char"/>
    <w:link w:val="680"/>
    <w:uiPriority w:val="29"/>
    <w:rPr>
      <w:i/>
    </w:rPr>
  </w:style>
  <w:style w:type="character" w:styleId="648">
    <w:name w:val="Intense Quote Char"/>
    <w:link w:val="682"/>
    <w:uiPriority w:val="30"/>
    <w:rPr>
      <w:i/>
    </w:rPr>
  </w:style>
  <w:style w:type="character" w:styleId="649">
    <w:name w:val="Header Char"/>
    <w:basedOn w:val="663"/>
    <w:link w:val="684"/>
    <w:uiPriority w:val="99"/>
  </w:style>
  <w:style w:type="character" w:styleId="650">
    <w:name w:val="Caption Char"/>
    <w:basedOn w:val="688"/>
    <w:link w:val="686"/>
    <w:uiPriority w:val="99"/>
  </w:style>
  <w:style w:type="character" w:styleId="651">
    <w:name w:val="Footnote Text Char"/>
    <w:link w:val="816"/>
    <w:uiPriority w:val="99"/>
    <w:rPr>
      <w:sz w:val="18"/>
    </w:rPr>
  </w:style>
  <w:style w:type="character" w:styleId="652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53"/>
    <w:next w:val="65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 w:customStyle="1">
    <w:name w:val="Заголовок Знак"/>
    <w:basedOn w:val="663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>
    <w:name w:val="Header"/>
    <w:basedOn w:val="65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3"/>
    <w:link w:val="684"/>
    <w:uiPriority w:val="99"/>
  </w:style>
  <w:style w:type="paragraph" w:styleId="686">
    <w:name w:val="Footer"/>
    <w:basedOn w:val="65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63"/>
    <w:uiPriority w:val="99"/>
  </w:style>
  <w:style w:type="paragraph" w:styleId="688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9" w:customStyle="1">
    <w:name w:val="Нижний колонтитул Знак"/>
    <w:link w:val="686"/>
    <w:uiPriority w:val="99"/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3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3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table" w:styleId="833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paragraph" w:styleId="835">
    <w:name w:val="Balloon Text"/>
    <w:basedOn w:val="653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663"/>
    <w:link w:val="835"/>
    <w:uiPriority w:val="99"/>
    <w:semiHidden/>
    <w:rPr>
      <w:rFonts w:ascii="Segoe UI" w:hAnsi="Segoe UI" w:cs="Segoe UI"/>
      <w:sz w:val="18"/>
      <w:szCs w:val="18"/>
    </w:rPr>
  </w:style>
  <w:style w:type="paragraph" w:styleId="83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8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 w:val="20"/>
      <w:szCs w:val="20"/>
      <w:lang w:eastAsia="zh-CN"/>
    </w:rPr>
  </w:style>
  <w:style w:type="paragraph" w:styleId="839" w:customStyle="1">
    <w:name w:val="Описание месторождений"/>
    <w:basedOn w:val="831"/>
    <w:uiPriority w:val="99"/>
    <w:pPr>
      <w:ind w:firstLine="567"/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Пищаскина</cp:lastModifiedBy>
  <cp:revision>36</cp:revision>
  <dcterms:created xsi:type="dcterms:W3CDTF">2022-01-26T11:14:00Z</dcterms:created>
  <dcterms:modified xsi:type="dcterms:W3CDTF">2022-11-10T07:09:19Z</dcterms:modified>
</cp:coreProperties>
</file>